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2C56" w14:textId="77777777" w:rsidR="00EC3B40" w:rsidRDefault="00140911">
      <w:pPr>
        <w:spacing w:before="73" w:line="242" w:lineRule="auto"/>
        <w:ind w:left="2380" w:right="2341"/>
        <w:rPr>
          <w:b/>
          <w:sz w:val="28"/>
        </w:rPr>
      </w:pPr>
      <w:bookmarkStart w:id="0" w:name="_GoBack"/>
      <w:bookmarkEnd w:id="0"/>
      <w:r>
        <w:rPr>
          <w:b/>
          <w:sz w:val="28"/>
        </w:rPr>
        <w:t>TEACHERS’ RETIREMENT SYSTEM OF THE STATE OF ILLINOIS</w:t>
      </w:r>
    </w:p>
    <w:p w14:paraId="2AD5C84B" w14:textId="77777777" w:rsidR="00EC3B40" w:rsidRDefault="00140911">
      <w:pPr>
        <w:spacing w:before="269"/>
        <w:ind w:left="2872" w:right="1133" w:hanging="857"/>
        <w:rPr>
          <w:b/>
          <w:i/>
          <w:sz w:val="24"/>
        </w:rPr>
      </w:pPr>
      <w:r>
        <w:rPr>
          <w:b/>
          <w:i/>
          <w:sz w:val="24"/>
        </w:rPr>
        <w:t>Asset</w:t>
      </w:r>
      <w:r>
        <w:rPr>
          <w:b/>
          <w:i/>
          <w:spacing w:val="-14"/>
          <w:sz w:val="24"/>
        </w:rPr>
        <w:t xml:space="preserve"> </w:t>
      </w:r>
      <w:r>
        <w:rPr>
          <w:b/>
          <w:i/>
          <w:sz w:val="24"/>
        </w:rPr>
        <w:t>Class:</w:t>
      </w:r>
      <w:r>
        <w:rPr>
          <w:b/>
          <w:i/>
          <w:spacing w:val="-15"/>
          <w:sz w:val="24"/>
        </w:rPr>
        <w:t xml:space="preserve"> </w:t>
      </w:r>
      <w:r>
        <w:rPr>
          <w:b/>
          <w:i/>
          <w:sz w:val="24"/>
        </w:rPr>
        <w:t>Public</w:t>
      </w:r>
      <w:r>
        <w:rPr>
          <w:b/>
          <w:i/>
          <w:spacing w:val="-15"/>
          <w:sz w:val="24"/>
        </w:rPr>
        <w:t xml:space="preserve"> </w:t>
      </w:r>
      <w:r>
        <w:rPr>
          <w:b/>
          <w:i/>
          <w:sz w:val="24"/>
        </w:rPr>
        <w:t>Equity</w:t>
      </w:r>
      <w:r>
        <w:rPr>
          <w:b/>
          <w:i/>
          <w:spacing w:val="-15"/>
          <w:sz w:val="24"/>
        </w:rPr>
        <w:t xml:space="preserve"> </w:t>
      </w:r>
      <w:r>
        <w:rPr>
          <w:b/>
          <w:i/>
          <w:sz w:val="24"/>
        </w:rPr>
        <w:t>(Domestic</w:t>
      </w:r>
      <w:r>
        <w:rPr>
          <w:b/>
          <w:i/>
          <w:spacing w:val="-15"/>
          <w:sz w:val="24"/>
        </w:rPr>
        <w:t xml:space="preserve"> </w:t>
      </w:r>
      <w:r>
        <w:rPr>
          <w:b/>
          <w:i/>
          <w:sz w:val="24"/>
        </w:rPr>
        <w:t>and</w:t>
      </w:r>
      <w:r>
        <w:rPr>
          <w:b/>
          <w:i/>
          <w:spacing w:val="-27"/>
          <w:sz w:val="24"/>
        </w:rPr>
        <w:t xml:space="preserve"> </w:t>
      </w:r>
      <w:r>
        <w:rPr>
          <w:b/>
          <w:i/>
          <w:sz w:val="24"/>
        </w:rPr>
        <w:t>International)</w:t>
      </w:r>
      <w:r>
        <w:rPr>
          <w:b/>
          <w:i/>
          <w:spacing w:val="-15"/>
          <w:sz w:val="24"/>
        </w:rPr>
        <w:t xml:space="preserve"> </w:t>
      </w:r>
      <w:r>
        <w:rPr>
          <w:b/>
          <w:i/>
          <w:sz w:val="24"/>
        </w:rPr>
        <w:t>Small and Mid-Capitalization</w:t>
      </w:r>
      <w:r>
        <w:rPr>
          <w:b/>
          <w:i/>
          <w:spacing w:val="-20"/>
          <w:sz w:val="24"/>
        </w:rPr>
        <w:t xml:space="preserve"> </w:t>
      </w:r>
      <w:r>
        <w:rPr>
          <w:b/>
          <w:i/>
          <w:sz w:val="24"/>
        </w:rPr>
        <w:t>Products</w:t>
      </w:r>
    </w:p>
    <w:p w14:paraId="6671B20C" w14:textId="77777777" w:rsidR="00EC3B40" w:rsidRDefault="00EC3B40">
      <w:pPr>
        <w:pStyle w:val="BodyText"/>
        <w:rPr>
          <w:b/>
          <w:i/>
        </w:rPr>
      </w:pPr>
    </w:p>
    <w:p w14:paraId="32C8572B" w14:textId="77777777" w:rsidR="00EC3B40" w:rsidRDefault="00140911">
      <w:pPr>
        <w:pStyle w:val="Heading1"/>
        <w:spacing w:line="240" w:lineRule="auto"/>
        <w:ind w:left="3568" w:right="2341" w:hanging="648"/>
        <w:jc w:val="left"/>
      </w:pPr>
      <w:bookmarkStart w:id="1" w:name="External_Manager_Candidate_Profile_Octob"/>
      <w:bookmarkEnd w:id="1"/>
      <w:r>
        <w:t>External Manager Candidate Profile October 2, 2009 (POST)</w:t>
      </w:r>
    </w:p>
    <w:p w14:paraId="4AC4DA2C" w14:textId="2F19C0B1" w:rsidR="00EC3B40" w:rsidRDefault="00F822C4">
      <w:pPr>
        <w:ind w:left="3475"/>
        <w:rPr>
          <w:b/>
          <w:sz w:val="24"/>
        </w:rPr>
      </w:pPr>
      <w:bookmarkStart w:id="2" w:name="June_8,_2015_(UPDATED)"/>
      <w:bookmarkEnd w:id="2"/>
      <w:r>
        <w:rPr>
          <w:b/>
          <w:sz w:val="24"/>
        </w:rPr>
        <w:t>J</w:t>
      </w:r>
      <w:r w:rsidR="000A6B30">
        <w:rPr>
          <w:b/>
          <w:sz w:val="24"/>
        </w:rPr>
        <w:t>anuary 23</w:t>
      </w:r>
      <w:r w:rsidR="00140911">
        <w:rPr>
          <w:b/>
          <w:sz w:val="24"/>
        </w:rPr>
        <w:t>, 20</w:t>
      </w:r>
      <w:r w:rsidR="000A6B30">
        <w:rPr>
          <w:b/>
          <w:sz w:val="24"/>
        </w:rPr>
        <w:t>20</w:t>
      </w:r>
      <w:r w:rsidR="00140911">
        <w:rPr>
          <w:b/>
          <w:sz w:val="24"/>
        </w:rPr>
        <w:t xml:space="preserve"> (UPDATED)</w:t>
      </w:r>
    </w:p>
    <w:p w14:paraId="7CF2A3BF" w14:textId="77777777" w:rsidR="00EC3B40" w:rsidRDefault="00EC3B40">
      <w:pPr>
        <w:pStyle w:val="BodyText"/>
        <w:rPr>
          <w:b/>
        </w:rPr>
      </w:pPr>
    </w:p>
    <w:p w14:paraId="0380C775" w14:textId="77777777" w:rsidR="00EC3B40" w:rsidRDefault="00140911">
      <w:pPr>
        <w:spacing w:line="274" w:lineRule="exact"/>
        <w:ind w:left="120"/>
        <w:jc w:val="both"/>
        <w:rPr>
          <w:b/>
          <w:sz w:val="24"/>
        </w:rPr>
      </w:pPr>
      <w:r>
        <w:rPr>
          <w:b/>
          <w:sz w:val="24"/>
          <w:u w:val="thick"/>
        </w:rPr>
        <w:t>INTRODUCTION</w:t>
      </w:r>
    </w:p>
    <w:p w14:paraId="7E708AB9" w14:textId="54A5EF26" w:rsidR="00EC3B40" w:rsidRDefault="00140911">
      <w:pPr>
        <w:pStyle w:val="BodyText"/>
        <w:ind w:left="120" w:right="104"/>
        <w:jc w:val="both"/>
      </w:pPr>
      <w:r>
        <w:t xml:space="preserve">The Investment Policy of the Teachers' Retirement System of the </w:t>
      </w:r>
      <w:r w:rsidR="00530B39">
        <w:t>State of Illinois (TRS) allows</w:t>
      </w:r>
      <w:r>
        <w:t xml:space="preserve"> Internal Investment Staff (Staff)</w:t>
      </w:r>
      <w:r w:rsidR="00530B39">
        <w:t xml:space="preserve"> and </w:t>
      </w:r>
      <w:r w:rsidR="00F84321">
        <w:t xml:space="preserve">External Investment Consultant </w:t>
      </w:r>
      <w:r w:rsidR="00530B39">
        <w:t xml:space="preserve">RVK, Inc. </w:t>
      </w:r>
      <w:r w:rsidR="00B74232">
        <w:t>(</w:t>
      </w:r>
      <w:r w:rsidR="00530B39">
        <w:t>“RVK”</w:t>
      </w:r>
      <w:r w:rsidR="00B74232">
        <w:t xml:space="preserve"> or</w:t>
      </w:r>
      <w:r w:rsidR="00530B39">
        <w:t xml:space="preserve"> </w:t>
      </w:r>
      <w:r w:rsidR="00B74232">
        <w:t>“</w:t>
      </w:r>
      <w:r w:rsidR="00530B39">
        <w:t>Consultant</w:t>
      </w:r>
      <w:r w:rsidR="00B74232">
        <w:t>”)</w:t>
      </w:r>
      <w:r w:rsidR="00530B39">
        <w:t xml:space="preserve"> </w:t>
      </w:r>
      <w:r>
        <w:t xml:space="preserve">to </w:t>
      </w:r>
      <w:r w:rsidR="00530B39">
        <w:t>screen</w:t>
      </w:r>
      <w:r>
        <w:t xml:space="preserve"> the investment manager universe</w:t>
      </w:r>
      <w:r w:rsidR="00530B39">
        <w:t xml:space="preserve"> as needed given</w:t>
      </w:r>
      <w:r w:rsidR="00D13493">
        <w:t xml:space="preserve"> small/mid cap</w:t>
      </w:r>
      <w:r w:rsidR="00530B39">
        <w:t xml:space="preserve"> structure considerations</w:t>
      </w:r>
      <w:r w:rsidR="00D13493">
        <w:t>.</w:t>
      </w:r>
    </w:p>
    <w:p w14:paraId="3E86D664" w14:textId="77777777" w:rsidR="00EC3B40" w:rsidRDefault="00EC3B40">
      <w:pPr>
        <w:pStyle w:val="BodyText"/>
        <w:spacing w:before="2"/>
        <w:rPr>
          <w:sz w:val="25"/>
        </w:rPr>
      </w:pPr>
    </w:p>
    <w:p w14:paraId="55DB857B" w14:textId="77777777" w:rsidR="00EC3B40" w:rsidRDefault="00140911">
      <w:pPr>
        <w:pStyle w:val="Heading1"/>
        <w:spacing w:before="1" w:line="240" w:lineRule="auto"/>
        <w:ind w:left="120" w:firstLine="0"/>
      </w:pPr>
      <w:bookmarkStart w:id="3" w:name="PROJECT_PARAMETERS"/>
      <w:bookmarkEnd w:id="3"/>
      <w:r>
        <w:rPr>
          <w:u w:val="thick"/>
        </w:rPr>
        <w:t>PROJECT PARAMETERS</w:t>
      </w:r>
    </w:p>
    <w:p w14:paraId="619CA0A4" w14:textId="77777777" w:rsidR="00EC3B40" w:rsidRDefault="00EC3B40">
      <w:pPr>
        <w:pStyle w:val="BodyText"/>
        <w:spacing w:before="11"/>
        <w:rPr>
          <w:b/>
          <w:sz w:val="15"/>
        </w:rPr>
      </w:pPr>
    </w:p>
    <w:p w14:paraId="50CB8F11" w14:textId="77777777" w:rsidR="00EC3B40" w:rsidRDefault="00140911">
      <w:pPr>
        <w:pStyle w:val="ListParagraph"/>
        <w:numPr>
          <w:ilvl w:val="0"/>
          <w:numId w:val="1"/>
        </w:numPr>
        <w:tabs>
          <w:tab w:val="left" w:pos="480"/>
        </w:tabs>
        <w:spacing w:before="90"/>
        <w:rPr>
          <w:b/>
          <w:sz w:val="24"/>
        </w:rPr>
      </w:pPr>
      <w:r>
        <w:rPr>
          <w:b/>
          <w:sz w:val="24"/>
        </w:rPr>
        <w:t>Manager</w:t>
      </w:r>
      <w:r>
        <w:rPr>
          <w:b/>
          <w:spacing w:val="-5"/>
          <w:sz w:val="24"/>
        </w:rPr>
        <w:t xml:space="preserve"> </w:t>
      </w:r>
      <w:r>
        <w:rPr>
          <w:b/>
          <w:sz w:val="24"/>
        </w:rPr>
        <w:t>Style</w:t>
      </w:r>
    </w:p>
    <w:p w14:paraId="2C3C50B3" w14:textId="77777777" w:rsidR="00EC3B40" w:rsidRDefault="00140911">
      <w:pPr>
        <w:pStyle w:val="BodyText"/>
        <w:ind w:left="119" w:right="102"/>
        <w:jc w:val="both"/>
      </w:pPr>
      <w:r>
        <w:t>The</w:t>
      </w:r>
      <w:r>
        <w:rPr>
          <w:spacing w:val="-11"/>
        </w:rPr>
        <w:t xml:space="preserve"> </w:t>
      </w:r>
      <w:r>
        <w:t>Teachers’</w:t>
      </w:r>
      <w:r>
        <w:rPr>
          <w:spacing w:val="-10"/>
        </w:rPr>
        <w:t xml:space="preserve"> </w:t>
      </w:r>
      <w:r>
        <w:t>Retirement</w:t>
      </w:r>
      <w:r>
        <w:rPr>
          <w:spacing w:val="-9"/>
        </w:rPr>
        <w:t xml:space="preserve"> </w:t>
      </w:r>
      <w:r>
        <w:t>System</w:t>
      </w:r>
      <w:r>
        <w:rPr>
          <w:spacing w:val="-9"/>
        </w:rPr>
        <w:t xml:space="preserve"> </w:t>
      </w:r>
      <w:r>
        <w:t>of</w:t>
      </w:r>
      <w:r>
        <w:rPr>
          <w:spacing w:val="-10"/>
        </w:rPr>
        <w:t xml:space="preserve"> </w:t>
      </w:r>
      <w:r>
        <w:t>the</w:t>
      </w:r>
      <w:r>
        <w:rPr>
          <w:spacing w:val="-11"/>
        </w:rPr>
        <w:t xml:space="preserve"> </w:t>
      </w:r>
      <w:r>
        <w:t>State</w:t>
      </w:r>
      <w:r>
        <w:rPr>
          <w:spacing w:val="-11"/>
        </w:rPr>
        <w:t xml:space="preserve"> </w:t>
      </w:r>
      <w:r>
        <w:t>of</w:t>
      </w:r>
      <w:r>
        <w:rPr>
          <w:spacing w:val="-8"/>
        </w:rPr>
        <w:t xml:space="preserve"> </w:t>
      </w:r>
      <w:r>
        <w:t>Illinois</w:t>
      </w:r>
      <w:r>
        <w:rPr>
          <w:spacing w:val="-9"/>
        </w:rPr>
        <w:t xml:space="preserve"> </w:t>
      </w:r>
      <w:r>
        <w:t>(TRS)</w:t>
      </w:r>
      <w:r>
        <w:rPr>
          <w:spacing w:val="-10"/>
        </w:rPr>
        <w:t xml:space="preserve"> </w:t>
      </w:r>
      <w:r>
        <w:t>seeks</w:t>
      </w:r>
      <w:r>
        <w:rPr>
          <w:spacing w:val="-9"/>
        </w:rPr>
        <w:t xml:space="preserve"> </w:t>
      </w:r>
      <w:r>
        <w:t>small</w:t>
      </w:r>
      <w:r>
        <w:rPr>
          <w:spacing w:val="-12"/>
        </w:rPr>
        <w:t xml:space="preserve"> </w:t>
      </w:r>
      <w:r>
        <w:t>and</w:t>
      </w:r>
      <w:r>
        <w:rPr>
          <w:spacing w:val="-10"/>
        </w:rPr>
        <w:t xml:space="preserve"> </w:t>
      </w:r>
      <w:r>
        <w:rPr>
          <w:spacing w:val="-3"/>
        </w:rPr>
        <w:t>mid-cap</w:t>
      </w:r>
      <w:r>
        <w:rPr>
          <w:spacing w:val="-10"/>
        </w:rPr>
        <w:t xml:space="preserve"> </w:t>
      </w:r>
      <w:r>
        <w:t>managers to manage portions of the Domestic Equity and International Equity portfolios. The domestic equity search will include investment managers using active stock selection primarily from a universe similar to the Russell 2000, Russell 2500 or Russell Mid Cap indices. The international search will include investment managers using active stock selection primarily from a universe similar</w:t>
      </w:r>
      <w:r>
        <w:rPr>
          <w:spacing w:val="-7"/>
        </w:rPr>
        <w:t xml:space="preserve"> </w:t>
      </w:r>
      <w:r>
        <w:t>to</w:t>
      </w:r>
      <w:r>
        <w:rPr>
          <w:spacing w:val="-6"/>
        </w:rPr>
        <w:t xml:space="preserve"> </w:t>
      </w:r>
      <w:r>
        <w:t>the</w:t>
      </w:r>
      <w:r>
        <w:rPr>
          <w:spacing w:val="-7"/>
        </w:rPr>
        <w:t xml:space="preserve"> </w:t>
      </w:r>
      <w:r>
        <w:t>MSCI</w:t>
      </w:r>
      <w:r>
        <w:rPr>
          <w:spacing w:val="-12"/>
        </w:rPr>
        <w:t xml:space="preserve"> </w:t>
      </w:r>
      <w:r>
        <w:t>EAFE</w:t>
      </w:r>
      <w:r>
        <w:rPr>
          <w:spacing w:val="-6"/>
        </w:rPr>
        <w:t xml:space="preserve"> </w:t>
      </w:r>
      <w:r>
        <w:t>Small</w:t>
      </w:r>
      <w:r>
        <w:rPr>
          <w:spacing w:val="-6"/>
        </w:rPr>
        <w:t xml:space="preserve"> </w:t>
      </w:r>
      <w:r>
        <w:t>Cap</w:t>
      </w:r>
      <w:r>
        <w:rPr>
          <w:spacing w:val="-6"/>
        </w:rPr>
        <w:t xml:space="preserve"> </w:t>
      </w:r>
      <w:r>
        <w:t>or</w:t>
      </w:r>
      <w:r>
        <w:rPr>
          <w:spacing w:val="-7"/>
        </w:rPr>
        <w:t xml:space="preserve"> </w:t>
      </w:r>
      <w:r>
        <w:t>MSCI</w:t>
      </w:r>
      <w:r>
        <w:rPr>
          <w:spacing w:val="-12"/>
        </w:rPr>
        <w:t xml:space="preserve"> </w:t>
      </w:r>
      <w:r>
        <w:t>All</w:t>
      </w:r>
      <w:r>
        <w:rPr>
          <w:spacing w:val="-6"/>
        </w:rPr>
        <w:t xml:space="preserve"> </w:t>
      </w:r>
      <w:r>
        <w:t>Country</w:t>
      </w:r>
      <w:r>
        <w:rPr>
          <w:spacing w:val="-11"/>
        </w:rPr>
        <w:t xml:space="preserve"> </w:t>
      </w:r>
      <w:r>
        <w:t>World</w:t>
      </w:r>
      <w:r>
        <w:rPr>
          <w:spacing w:val="-6"/>
        </w:rPr>
        <w:t xml:space="preserve"> </w:t>
      </w:r>
      <w:r>
        <w:t>x-US</w:t>
      </w:r>
      <w:r>
        <w:rPr>
          <w:spacing w:val="-5"/>
        </w:rPr>
        <w:t xml:space="preserve"> </w:t>
      </w:r>
      <w:r>
        <w:t>Small</w:t>
      </w:r>
      <w:r>
        <w:rPr>
          <w:spacing w:val="-6"/>
        </w:rPr>
        <w:t xml:space="preserve"> </w:t>
      </w:r>
      <w:r>
        <w:t>Cap</w:t>
      </w:r>
      <w:r>
        <w:rPr>
          <w:spacing w:val="-6"/>
        </w:rPr>
        <w:t xml:space="preserve"> </w:t>
      </w:r>
      <w:r>
        <w:t>indices.</w:t>
      </w:r>
      <w:r>
        <w:rPr>
          <w:spacing w:val="-28"/>
        </w:rPr>
        <w:t xml:space="preserve"> </w:t>
      </w:r>
      <w:r>
        <w:t>Core, value, growth, enhanced index and fundamental index styles are all eligible for</w:t>
      </w:r>
      <w:r>
        <w:rPr>
          <w:spacing w:val="-45"/>
        </w:rPr>
        <w:t xml:space="preserve"> </w:t>
      </w:r>
      <w:r>
        <w:t>consideration.</w:t>
      </w:r>
    </w:p>
    <w:p w14:paraId="20F0AE7B" w14:textId="77777777" w:rsidR="00EC3B40" w:rsidRDefault="00EC3B40">
      <w:pPr>
        <w:pStyle w:val="BodyText"/>
        <w:spacing w:before="1"/>
        <w:rPr>
          <w:sz w:val="25"/>
        </w:rPr>
      </w:pPr>
    </w:p>
    <w:p w14:paraId="4C627B27" w14:textId="77777777" w:rsidR="00EC3B40" w:rsidRDefault="00140911">
      <w:pPr>
        <w:pStyle w:val="Heading1"/>
        <w:numPr>
          <w:ilvl w:val="0"/>
          <w:numId w:val="1"/>
        </w:numPr>
        <w:tabs>
          <w:tab w:val="left" w:pos="480"/>
        </w:tabs>
        <w:spacing w:before="1" w:line="274" w:lineRule="exact"/>
      </w:pPr>
      <w:bookmarkStart w:id="4" w:name="2._Manager_Type"/>
      <w:bookmarkEnd w:id="4"/>
      <w:r>
        <w:t>Manager</w:t>
      </w:r>
      <w:r>
        <w:rPr>
          <w:spacing w:val="-4"/>
        </w:rPr>
        <w:t xml:space="preserve"> </w:t>
      </w:r>
      <w:r>
        <w:t>Type</w:t>
      </w:r>
    </w:p>
    <w:p w14:paraId="579D0D4D" w14:textId="0EEFE851" w:rsidR="00AD04BB" w:rsidRPr="00AD04BB" w:rsidRDefault="00AD04BB" w:rsidP="006B6757">
      <w:pPr>
        <w:ind w:left="120"/>
        <w:jc w:val="both"/>
        <w:rPr>
          <w:sz w:val="24"/>
          <w:szCs w:val="24"/>
        </w:rPr>
      </w:pPr>
      <w:r w:rsidRPr="00AD04BB">
        <w:rPr>
          <w:sz w:val="24"/>
          <w:szCs w:val="24"/>
        </w:rPr>
        <w:t>Investment advisers must be registered with the SEC or a bank under the Investment Advisors Act of 1940.  Firms that are devoted to managing assets for tax exempt accounts are preferred.  If not registered in the U.S., other bona fide regulatory countries and jurisdictions may be</w:t>
      </w:r>
      <w:r w:rsidR="006B6757">
        <w:rPr>
          <w:sz w:val="24"/>
          <w:szCs w:val="24"/>
        </w:rPr>
        <w:t xml:space="preserve"> </w:t>
      </w:r>
      <w:r w:rsidRPr="00AD04BB">
        <w:rPr>
          <w:sz w:val="24"/>
          <w:szCs w:val="24"/>
        </w:rPr>
        <w:t>considered.  This includes investment counselors and investment counseling subsidiaries of banks, brokers, and insurance companies.</w:t>
      </w:r>
    </w:p>
    <w:p w14:paraId="1BBA16F3" w14:textId="77777777" w:rsidR="00AD04BB" w:rsidRDefault="00AD04BB">
      <w:pPr>
        <w:pStyle w:val="BodyText"/>
        <w:rPr>
          <w:sz w:val="25"/>
        </w:rPr>
      </w:pPr>
    </w:p>
    <w:p w14:paraId="42FA4B18" w14:textId="225E5497" w:rsidR="00EC3B40" w:rsidRDefault="00C21B0E">
      <w:pPr>
        <w:pStyle w:val="Heading1"/>
        <w:numPr>
          <w:ilvl w:val="0"/>
          <w:numId w:val="1"/>
        </w:numPr>
        <w:tabs>
          <w:tab w:val="left" w:pos="480"/>
        </w:tabs>
        <w:spacing w:line="275" w:lineRule="exact"/>
      </w:pPr>
      <w:bookmarkStart w:id="5" w:name="3._Emerging_Investment_Managers"/>
      <w:bookmarkEnd w:id="5"/>
      <w:r>
        <w:t xml:space="preserve">Investment Manager Diversity </w:t>
      </w:r>
    </w:p>
    <w:p w14:paraId="171FA87F" w14:textId="694B5ED5" w:rsidR="00EC3B40" w:rsidRPr="006B6757" w:rsidRDefault="00AD04BB" w:rsidP="006B6757">
      <w:pPr>
        <w:ind w:left="120"/>
        <w:jc w:val="both"/>
        <w:rPr>
          <w:sz w:val="24"/>
          <w:szCs w:val="24"/>
        </w:rPr>
      </w:pPr>
      <w:r w:rsidRPr="006B6757">
        <w:rPr>
          <w:sz w:val="24"/>
          <w:szCs w:val="24"/>
        </w:rPr>
        <w:t>A “minority investment manager” is defined in Illinois state law</w:t>
      </w:r>
      <w:r w:rsidRPr="003225FE">
        <w:rPr>
          <w:sz w:val="24"/>
          <w:szCs w:val="24"/>
          <w:vertAlign w:val="superscript"/>
        </w:rPr>
        <w:footnoteReference w:id="2"/>
      </w:r>
      <w:r w:rsidRPr="006B6757">
        <w:rPr>
          <w:sz w:val="24"/>
          <w:szCs w:val="24"/>
        </w:rPr>
        <w:t xml:space="preserve"> as a qualified investment manager that manages an investment portfolio and meets the definition of "minority-owned business," "women-owned business," or "business owned by a person with a disability," as those terms are defined in the Business Enterprise for Minorities, Women, and Persons with Disabilities Act</w:t>
      </w:r>
      <w:r w:rsidRPr="003225FE">
        <w:rPr>
          <w:sz w:val="24"/>
          <w:szCs w:val="24"/>
          <w:vertAlign w:val="superscript"/>
        </w:rPr>
        <w:footnoteReference w:id="3"/>
      </w:r>
      <w:r w:rsidRPr="006B6757">
        <w:rPr>
          <w:sz w:val="24"/>
          <w:szCs w:val="24"/>
        </w:rPr>
        <w:t>.   Candidates meeting the “minority investment manager” definition along with the screening criteria set forth in this Candidate Profile shall be identified as eligible.  If any such managers are identified, the most qualified candidate shall be invited to present to the Investment Committee of the TRS Board of Trustees.</w:t>
      </w:r>
    </w:p>
    <w:p w14:paraId="348FBC45" w14:textId="105DD307" w:rsidR="00EC3B40" w:rsidRDefault="00EC3B40">
      <w:pPr>
        <w:pStyle w:val="BodyText"/>
        <w:rPr>
          <w:sz w:val="20"/>
        </w:rPr>
      </w:pPr>
    </w:p>
    <w:p w14:paraId="7A755D93" w14:textId="77777777" w:rsidR="006B6757" w:rsidRDefault="006B6757">
      <w:pPr>
        <w:pStyle w:val="BodyText"/>
        <w:rPr>
          <w:sz w:val="20"/>
        </w:rPr>
      </w:pPr>
    </w:p>
    <w:p w14:paraId="11034BA3" w14:textId="7AE66A1C" w:rsidR="00EC3B40" w:rsidRDefault="00F84321">
      <w:pPr>
        <w:pStyle w:val="Heading1"/>
        <w:numPr>
          <w:ilvl w:val="0"/>
          <w:numId w:val="1"/>
        </w:numPr>
        <w:tabs>
          <w:tab w:val="left" w:pos="480"/>
        </w:tabs>
        <w:spacing w:before="72" w:line="274" w:lineRule="exact"/>
      </w:pPr>
      <w:bookmarkStart w:id="6" w:name="4._Amount_to_Be_Allocated"/>
      <w:bookmarkEnd w:id="6"/>
      <w:r>
        <w:lastRenderedPageBreak/>
        <w:t>A</w:t>
      </w:r>
      <w:r w:rsidR="00140911">
        <w:t>mount to Be</w:t>
      </w:r>
      <w:r w:rsidR="00140911">
        <w:rPr>
          <w:spacing w:val="-12"/>
        </w:rPr>
        <w:t xml:space="preserve"> </w:t>
      </w:r>
      <w:r w:rsidR="00140911">
        <w:t>Allocated</w:t>
      </w:r>
    </w:p>
    <w:p w14:paraId="4679774B" w14:textId="70D8AE3D" w:rsidR="00EC3B40" w:rsidRDefault="00140911" w:rsidP="00B74232">
      <w:pPr>
        <w:pStyle w:val="BodyText"/>
        <w:spacing w:before="2" w:line="274" w:lineRule="exact"/>
        <w:ind w:left="120" w:right="249"/>
      </w:pPr>
      <w:r>
        <w:t>The</w:t>
      </w:r>
      <w:r>
        <w:rPr>
          <w:spacing w:val="-7"/>
        </w:rPr>
        <w:t xml:space="preserve"> </w:t>
      </w:r>
      <w:r>
        <w:t>potential</w:t>
      </w:r>
      <w:r>
        <w:rPr>
          <w:spacing w:val="-6"/>
        </w:rPr>
        <w:t xml:space="preserve"> </w:t>
      </w:r>
      <w:r>
        <w:t>mandate</w:t>
      </w:r>
      <w:r>
        <w:rPr>
          <w:spacing w:val="-7"/>
        </w:rPr>
        <w:t xml:space="preserve"> </w:t>
      </w:r>
      <w:r>
        <w:t>size</w:t>
      </w:r>
      <w:r>
        <w:rPr>
          <w:spacing w:val="-7"/>
        </w:rPr>
        <w:t xml:space="preserve"> </w:t>
      </w:r>
      <w:r>
        <w:t>will</w:t>
      </w:r>
      <w:r>
        <w:rPr>
          <w:spacing w:val="-6"/>
        </w:rPr>
        <w:t xml:space="preserve"> </w:t>
      </w:r>
      <w:r>
        <w:t>be</w:t>
      </w:r>
      <w:r>
        <w:rPr>
          <w:spacing w:val="-7"/>
        </w:rPr>
        <w:t xml:space="preserve"> </w:t>
      </w:r>
      <w:r>
        <w:t>based</w:t>
      </w:r>
      <w:r>
        <w:rPr>
          <w:spacing w:val="-6"/>
        </w:rPr>
        <w:t xml:space="preserve"> </w:t>
      </w:r>
      <w:r>
        <w:t>on</w:t>
      </w:r>
      <w:r>
        <w:rPr>
          <w:spacing w:val="-6"/>
        </w:rPr>
        <w:t xml:space="preserve"> </w:t>
      </w:r>
      <w:r>
        <w:t>conviction</w:t>
      </w:r>
      <w:r>
        <w:rPr>
          <w:spacing w:val="-6"/>
        </w:rPr>
        <w:t xml:space="preserve"> </w:t>
      </w:r>
      <w:r>
        <w:t>and</w:t>
      </w:r>
      <w:r>
        <w:rPr>
          <w:spacing w:val="-6"/>
        </w:rPr>
        <w:t xml:space="preserve"> </w:t>
      </w:r>
      <w:r w:rsidR="00824DD2">
        <w:t>fit.  A</w:t>
      </w:r>
      <w:r w:rsidR="00944BE4">
        <w:t xml:space="preserve"> mandate is</w:t>
      </w:r>
      <w:r>
        <w:rPr>
          <w:spacing w:val="-6"/>
        </w:rPr>
        <w:t xml:space="preserve"> </w:t>
      </w:r>
      <w:r>
        <w:t>typically</w:t>
      </w:r>
      <w:r w:rsidR="00944BE4" w:rsidRPr="00B74232">
        <w:t xml:space="preserve"> </w:t>
      </w:r>
      <w:r w:rsidR="00944BE4">
        <w:t>2</w:t>
      </w:r>
      <w:r w:rsidR="00D13493">
        <w:t xml:space="preserve">.0% to </w:t>
      </w:r>
      <w:r w:rsidR="00944BE4">
        <w:t>4</w:t>
      </w:r>
      <w:r w:rsidR="00D13493">
        <w:t>.0</w:t>
      </w:r>
      <w:r w:rsidR="00944BE4">
        <w:t>% of the</w:t>
      </w:r>
      <w:r w:rsidRPr="00B74232">
        <w:rPr>
          <w:spacing w:val="-11"/>
        </w:rPr>
        <w:t xml:space="preserve"> </w:t>
      </w:r>
      <w:r>
        <w:t>respective portfolio</w:t>
      </w:r>
      <w:r w:rsidR="00944BE4">
        <w:t>.</w:t>
      </w:r>
    </w:p>
    <w:p w14:paraId="3CE2523C" w14:textId="77777777" w:rsidR="00EC3B40" w:rsidRDefault="00EC3B40">
      <w:pPr>
        <w:pStyle w:val="BodyText"/>
        <w:spacing w:before="1"/>
        <w:rPr>
          <w:sz w:val="25"/>
        </w:rPr>
      </w:pPr>
    </w:p>
    <w:p w14:paraId="5179A768" w14:textId="77777777" w:rsidR="00EC3B40" w:rsidRDefault="00140911">
      <w:pPr>
        <w:pStyle w:val="Heading1"/>
        <w:spacing w:line="240" w:lineRule="auto"/>
        <w:ind w:left="120" w:firstLine="0"/>
        <w:jc w:val="left"/>
      </w:pPr>
      <w:bookmarkStart w:id="7" w:name="SELECTION_PROCESS"/>
      <w:bookmarkEnd w:id="7"/>
      <w:r>
        <w:rPr>
          <w:u w:val="thick"/>
        </w:rPr>
        <w:t>SELECTION PROCESS</w:t>
      </w:r>
    </w:p>
    <w:p w14:paraId="431811EE" w14:textId="77777777" w:rsidR="00EC3B40" w:rsidRDefault="00EC3B40">
      <w:pPr>
        <w:pStyle w:val="BodyText"/>
        <w:spacing w:before="11"/>
        <w:rPr>
          <w:b/>
          <w:sz w:val="15"/>
        </w:rPr>
      </w:pPr>
    </w:p>
    <w:p w14:paraId="0D74A670" w14:textId="77777777" w:rsidR="00EC3B40" w:rsidRDefault="00140911">
      <w:pPr>
        <w:pStyle w:val="ListParagraph"/>
        <w:numPr>
          <w:ilvl w:val="0"/>
          <w:numId w:val="1"/>
        </w:numPr>
        <w:tabs>
          <w:tab w:val="left" w:pos="480"/>
        </w:tabs>
        <w:spacing w:before="90"/>
        <w:rPr>
          <w:b/>
          <w:sz w:val="24"/>
        </w:rPr>
      </w:pPr>
      <w:r>
        <w:rPr>
          <w:b/>
          <w:sz w:val="24"/>
        </w:rPr>
        <w:t>Identification of</w:t>
      </w:r>
      <w:r>
        <w:rPr>
          <w:b/>
          <w:spacing w:val="-14"/>
          <w:sz w:val="24"/>
        </w:rPr>
        <w:t xml:space="preserve"> </w:t>
      </w:r>
      <w:r>
        <w:rPr>
          <w:b/>
          <w:sz w:val="24"/>
        </w:rPr>
        <w:t>Candidates</w:t>
      </w:r>
    </w:p>
    <w:p w14:paraId="4F21DB65" w14:textId="6A442266" w:rsidR="00EC3B40" w:rsidRDefault="00140911">
      <w:pPr>
        <w:pStyle w:val="BodyText"/>
        <w:ind w:left="119" w:right="245"/>
        <w:jc w:val="both"/>
      </w:pPr>
      <w:r>
        <w:t>RVK, TRS’s investment consultant, will identify appropriate candidates based on product information submitted to the eVestment database by investment managers wishing to be considered</w:t>
      </w:r>
      <w:r>
        <w:rPr>
          <w:spacing w:val="-14"/>
        </w:rPr>
        <w:t xml:space="preserve"> </w:t>
      </w:r>
      <w:r>
        <w:t>to</w:t>
      </w:r>
      <w:r>
        <w:rPr>
          <w:spacing w:val="-14"/>
        </w:rPr>
        <w:t xml:space="preserve"> </w:t>
      </w:r>
      <w:r>
        <w:t>the</w:t>
      </w:r>
      <w:r>
        <w:rPr>
          <w:spacing w:val="-15"/>
        </w:rPr>
        <w:t xml:space="preserve"> </w:t>
      </w:r>
      <w:r>
        <w:t>assignment.</w:t>
      </w:r>
      <w:r>
        <w:rPr>
          <w:spacing w:val="-14"/>
        </w:rPr>
        <w:t xml:space="preserve"> </w:t>
      </w:r>
    </w:p>
    <w:p w14:paraId="60EAA12F" w14:textId="77777777" w:rsidR="00EC3B40" w:rsidRDefault="00EC3B40">
      <w:pPr>
        <w:pStyle w:val="BodyText"/>
        <w:spacing w:before="3"/>
      </w:pPr>
    </w:p>
    <w:p w14:paraId="24366CB4" w14:textId="54D4A734" w:rsidR="00EC3B40" w:rsidRDefault="00140911">
      <w:pPr>
        <w:pStyle w:val="BodyText"/>
        <w:ind w:left="119" w:right="116"/>
        <w:jc w:val="both"/>
      </w:pPr>
      <w:r>
        <w:t>Current</w:t>
      </w:r>
      <w:r>
        <w:rPr>
          <w:spacing w:val="-11"/>
        </w:rPr>
        <w:t xml:space="preserve"> </w:t>
      </w:r>
      <w:r>
        <w:t>data</w:t>
      </w:r>
      <w:r>
        <w:rPr>
          <w:spacing w:val="-12"/>
        </w:rPr>
        <w:t xml:space="preserve"> </w:t>
      </w:r>
      <w:r>
        <w:t>must</w:t>
      </w:r>
      <w:r>
        <w:rPr>
          <w:spacing w:val="-11"/>
        </w:rPr>
        <w:t xml:space="preserve"> </w:t>
      </w:r>
      <w:r>
        <w:t>be</w:t>
      </w:r>
      <w:r>
        <w:rPr>
          <w:spacing w:val="-10"/>
        </w:rPr>
        <w:t xml:space="preserve"> </w:t>
      </w:r>
      <w:r w:rsidR="00D13493">
        <w:t>included in</w:t>
      </w:r>
      <w:r>
        <w:rPr>
          <w:spacing w:val="-11"/>
        </w:rPr>
        <w:t xml:space="preserve"> </w:t>
      </w:r>
      <w:r>
        <w:t>eVestment</w:t>
      </w:r>
      <w:r>
        <w:rPr>
          <w:spacing w:val="-11"/>
        </w:rPr>
        <w:t xml:space="preserve"> </w:t>
      </w:r>
      <w:r w:rsidR="00944BE4">
        <w:t>prior to TRS screening.</w:t>
      </w:r>
      <w:r>
        <w:rPr>
          <w:spacing w:val="-11"/>
        </w:rPr>
        <w:t xml:space="preserve"> </w:t>
      </w:r>
      <w:r w:rsidR="00944BE4" w:rsidRPr="00B74232">
        <w:rPr>
          <w:spacing w:val="-11"/>
        </w:rPr>
        <w:t xml:space="preserve"> </w:t>
      </w:r>
      <w:r>
        <w:t>Make sure that any product you submit is fully updated in the eVestment system with previous quarter data. It is critical that all data fields are completed. This includes, but is not limited to: investment return series, characteristic data, description of methodology, firm data, and product assets under management</w:t>
      </w:r>
      <w:r>
        <w:rPr>
          <w:spacing w:val="-7"/>
        </w:rPr>
        <w:t xml:space="preserve"> </w:t>
      </w:r>
      <w:r>
        <w:t>breakdown.</w:t>
      </w:r>
      <w:r>
        <w:rPr>
          <w:spacing w:val="41"/>
        </w:rPr>
        <w:t xml:space="preserve"> </w:t>
      </w:r>
      <w:r>
        <w:rPr>
          <w:spacing w:val="-4"/>
        </w:rPr>
        <w:t>If</w:t>
      </w:r>
      <w:r>
        <w:rPr>
          <w:spacing w:val="-13"/>
        </w:rPr>
        <w:t xml:space="preserve"> </w:t>
      </w:r>
      <w:r>
        <w:t>your</w:t>
      </w:r>
      <w:r>
        <w:rPr>
          <w:spacing w:val="-8"/>
        </w:rPr>
        <w:t xml:space="preserve"> </w:t>
      </w:r>
      <w:r>
        <w:t>firm</w:t>
      </w:r>
      <w:r>
        <w:rPr>
          <w:spacing w:val="-7"/>
        </w:rPr>
        <w:t xml:space="preserve"> </w:t>
      </w:r>
      <w:r>
        <w:t>does</w:t>
      </w:r>
      <w:r>
        <w:rPr>
          <w:spacing w:val="-7"/>
        </w:rPr>
        <w:t xml:space="preserve"> </w:t>
      </w:r>
      <w:r>
        <w:t>not</w:t>
      </w:r>
      <w:r>
        <w:rPr>
          <w:spacing w:val="-7"/>
        </w:rPr>
        <w:t xml:space="preserve"> </w:t>
      </w:r>
      <w:r>
        <w:t>already</w:t>
      </w:r>
      <w:r>
        <w:rPr>
          <w:spacing w:val="-14"/>
        </w:rPr>
        <w:t xml:space="preserve"> </w:t>
      </w:r>
      <w:r>
        <w:t>submit</w:t>
      </w:r>
      <w:r>
        <w:rPr>
          <w:spacing w:val="-7"/>
        </w:rPr>
        <w:t xml:space="preserve"> </w:t>
      </w:r>
      <w:r>
        <w:t>data</w:t>
      </w:r>
      <w:r>
        <w:rPr>
          <w:spacing w:val="-8"/>
        </w:rPr>
        <w:t xml:space="preserve"> </w:t>
      </w:r>
      <w:r>
        <w:t>to</w:t>
      </w:r>
      <w:r>
        <w:rPr>
          <w:spacing w:val="-7"/>
        </w:rPr>
        <w:t xml:space="preserve"> </w:t>
      </w:r>
      <w:r>
        <w:t>the</w:t>
      </w:r>
      <w:r>
        <w:rPr>
          <w:spacing w:val="-8"/>
        </w:rPr>
        <w:t xml:space="preserve"> </w:t>
      </w:r>
      <w:r>
        <w:t>eVestment</w:t>
      </w:r>
      <w:r>
        <w:rPr>
          <w:spacing w:val="-7"/>
        </w:rPr>
        <w:t xml:space="preserve"> </w:t>
      </w:r>
      <w:r>
        <w:t>database,</w:t>
      </w:r>
      <w:r>
        <w:rPr>
          <w:spacing w:val="-2"/>
        </w:rPr>
        <w:t xml:space="preserve"> </w:t>
      </w:r>
      <w:r>
        <w:t xml:space="preserve">you can sign up for participation on their website at: </w:t>
      </w:r>
      <w:hyperlink r:id="rId7">
        <w:r>
          <w:rPr>
            <w:color w:val="0000FF"/>
            <w:u w:val="single" w:color="0000FF"/>
          </w:rPr>
          <w:t>www.evestment.com</w:t>
        </w:r>
        <w:r>
          <w:t>.</w:t>
        </w:r>
      </w:hyperlink>
      <w:r>
        <w:t xml:space="preserve"> There is no charge for supplying data to</w:t>
      </w:r>
      <w:r>
        <w:rPr>
          <w:spacing w:val="-9"/>
        </w:rPr>
        <w:t xml:space="preserve"> </w:t>
      </w:r>
      <w:r>
        <w:t>eVestment.</w:t>
      </w:r>
    </w:p>
    <w:p w14:paraId="56F50D0E" w14:textId="77777777" w:rsidR="00EC3B40" w:rsidRDefault="00EC3B40">
      <w:pPr>
        <w:pStyle w:val="BodyText"/>
        <w:spacing w:before="10"/>
        <w:rPr>
          <w:sz w:val="23"/>
        </w:rPr>
      </w:pPr>
    </w:p>
    <w:p w14:paraId="1202BFDC" w14:textId="722DE860" w:rsidR="00EC3B40" w:rsidRDefault="00140911">
      <w:pPr>
        <w:pStyle w:val="BodyText"/>
        <w:spacing w:before="1"/>
        <w:ind w:left="120" w:right="525"/>
      </w:pPr>
      <w:r>
        <w:t xml:space="preserve">Please direct any questions to </w:t>
      </w:r>
      <w:hyperlink r:id="rId8" w:history="1">
        <w:r w:rsidR="003D1A4F" w:rsidRPr="00FC76EE">
          <w:rPr>
            <w:rStyle w:val="Hyperlink"/>
            <w:u w:color="0000FF"/>
          </w:rPr>
          <w:t>trsi.smidcap@rvkinc.com</w:t>
        </w:r>
      </w:hyperlink>
      <w:r>
        <w:rPr>
          <w:color w:val="0000FF"/>
          <w:u w:val="single" w:color="0000FF"/>
        </w:rPr>
        <w:t xml:space="preserve"> </w:t>
      </w:r>
      <w:r>
        <w:t xml:space="preserve">or contact </w:t>
      </w:r>
      <w:r w:rsidR="00B74232">
        <w:t>the Equity Research Team at RVK</w:t>
      </w:r>
      <w:r>
        <w:t xml:space="preserve"> at (503)221-4200.</w:t>
      </w:r>
      <w:r w:rsidR="00D13493">
        <w:t xml:space="preserve">  </w:t>
      </w:r>
    </w:p>
    <w:p w14:paraId="0E87125F" w14:textId="77777777" w:rsidR="00EC3B40" w:rsidRDefault="00EC3B40">
      <w:pPr>
        <w:pStyle w:val="BodyText"/>
      </w:pPr>
    </w:p>
    <w:p w14:paraId="6ED889DF" w14:textId="76D5469E" w:rsidR="00EC3B40" w:rsidRDefault="00140911">
      <w:pPr>
        <w:pStyle w:val="BodyText"/>
        <w:ind w:left="120" w:right="118"/>
        <w:jc w:val="both"/>
      </w:pPr>
      <w:r>
        <w:t>Newer products not yet meeting the minimum asset, experience, or track record criteria specified below are encouraged t</w:t>
      </w:r>
      <w:r w:rsidR="009D1E7B">
        <w:t>o apply through the TRS Emerging</w:t>
      </w:r>
      <w:r>
        <w:t xml:space="preserve"> Manager Program.</w:t>
      </w:r>
      <w:r w:rsidR="000E4A41">
        <w:t xml:space="preserve"> </w:t>
      </w:r>
      <w:r>
        <w:t xml:space="preserve"> Information is available at </w:t>
      </w:r>
      <w:hyperlink r:id="rId9" w:history="1">
        <w:r w:rsidR="00037036" w:rsidRPr="00D14E08">
          <w:rPr>
            <w:rStyle w:val="Hyperlink"/>
          </w:rPr>
          <w:t>https://www.trsil.org/investments/how-to-participate</w:t>
        </w:r>
      </w:hyperlink>
      <w:r w:rsidR="00037036">
        <w:t xml:space="preserve"> </w:t>
      </w:r>
    </w:p>
    <w:p w14:paraId="042E152B" w14:textId="77777777" w:rsidR="00EC3B40" w:rsidRDefault="00EC3B40">
      <w:pPr>
        <w:pStyle w:val="BodyText"/>
        <w:rPr>
          <w:sz w:val="17"/>
        </w:rPr>
      </w:pPr>
    </w:p>
    <w:p w14:paraId="76EECE7C" w14:textId="77777777" w:rsidR="00EC3B40" w:rsidRPr="00D13493" w:rsidRDefault="00140911">
      <w:pPr>
        <w:pStyle w:val="Heading1"/>
        <w:numPr>
          <w:ilvl w:val="0"/>
          <w:numId w:val="1"/>
        </w:numPr>
        <w:tabs>
          <w:tab w:val="left" w:pos="480"/>
        </w:tabs>
        <w:spacing w:before="90" w:line="274" w:lineRule="exact"/>
      </w:pPr>
      <w:bookmarkStart w:id="8" w:name="6._Selection_of_Semi-finalist_Candidates"/>
      <w:bookmarkEnd w:id="8"/>
      <w:r w:rsidRPr="00D13493">
        <w:t>Selection of Semi-finalist</w:t>
      </w:r>
      <w:r w:rsidRPr="00D13493">
        <w:rPr>
          <w:spacing w:val="-15"/>
        </w:rPr>
        <w:t xml:space="preserve"> </w:t>
      </w:r>
      <w:r w:rsidRPr="00D13493">
        <w:t>Candidates</w:t>
      </w:r>
    </w:p>
    <w:p w14:paraId="42747045" w14:textId="2A75E0DD" w:rsidR="00D13493" w:rsidRPr="00B74232" w:rsidRDefault="00D13493" w:rsidP="00B74232">
      <w:pPr>
        <w:ind w:left="120"/>
      </w:pPr>
      <w:r w:rsidRPr="00B74232">
        <w:rPr>
          <w:sz w:val="24"/>
        </w:rPr>
        <w:t xml:space="preserve">RVK and staff will evaluate organizational, strategy, process and performance factors of initial candidates and will </w:t>
      </w:r>
      <w:r w:rsidRPr="00D13493">
        <w:rPr>
          <w:sz w:val="24"/>
          <w:szCs w:val="24"/>
        </w:rPr>
        <w:t>select a group</w:t>
      </w:r>
      <w:r w:rsidRPr="00B74232">
        <w:rPr>
          <w:sz w:val="24"/>
        </w:rPr>
        <w:t xml:space="preserve"> of </w:t>
      </w:r>
      <w:r w:rsidRPr="00D13493">
        <w:rPr>
          <w:sz w:val="24"/>
          <w:szCs w:val="24"/>
        </w:rPr>
        <w:t xml:space="preserve">semi-finalists for </w:t>
      </w:r>
      <w:r w:rsidRPr="00B74232">
        <w:rPr>
          <w:sz w:val="24"/>
        </w:rPr>
        <w:t xml:space="preserve">further evaluation. </w:t>
      </w:r>
      <w:r w:rsidRPr="00D13493">
        <w:rPr>
          <w:sz w:val="24"/>
          <w:szCs w:val="24"/>
        </w:rPr>
        <w:t xml:space="preserve"> The consultant</w:t>
      </w:r>
      <w:r w:rsidRPr="00B74232">
        <w:rPr>
          <w:sz w:val="24"/>
        </w:rPr>
        <w:t xml:space="preserve"> will </w:t>
      </w:r>
      <w:r w:rsidRPr="00D13493">
        <w:rPr>
          <w:sz w:val="24"/>
          <w:szCs w:val="24"/>
        </w:rPr>
        <w:t xml:space="preserve">prepare an </w:t>
      </w:r>
      <w:r w:rsidRPr="00B74232">
        <w:rPr>
          <w:sz w:val="24"/>
        </w:rPr>
        <w:t xml:space="preserve">in-depth analysis </w:t>
      </w:r>
      <w:r w:rsidRPr="00D13493">
        <w:rPr>
          <w:sz w:val="24"/>
          <w:szCs w:val="24"/>
        </w:rPr>
        <w:t xml:space="preserve">of the semi-finalists for consideration </w:t>
      </w:r>
      <w:r w:rsidRPr="00B74232">
        <w:rPr>
          <w:sz w:val="24"/>
        </w:rPr>
        <w:t xml:space="preserve">by consultant and staff. </w:t>
      </w:r>
      <w:r w:rsidRPr="00D13493">
        <w:rPr>
          <w:sz w:val="24"/>
          <w:szCs w:val="24"/>
        </w:rPr>
        <w:t xml:space="preserve"> Based on this analysis, four to eight candidates are expected to be recommended for further review. </w:t>
      </w:r>
    </w:p>
    <w:p w14:paraId="0803DF69" w14:textId="77777777" w:rsidR="00D13493" w:rsidRDefault="00D13493">
      <w:pPr>
        <w:pStyle w:val="BodyText"/>
        <w:spacing w:before="2"/>
        <w:rPr>
          <w:sz w:val="25"/>
        </w:rPr>
      </w:pPr>
    </w:p>
    <w:p w14:paraId="179E788B" w14:textId="77777777" w:rsidR="00EC3B40" w:rsidRPr="00D13493" w:rsidRDefault="00140911">
      <w:pPr>
        <w:pStyle w:val="Heading1"/>
        <w:numPr>
          <w:ilvl w:val="0"/>
          <w:numId w:val="1"/>
        </w:numPr>
        <w:tabs>
          <w:tab w:val="left" w:pos="480"/>
        </w:tabs>
        <w:spacing w:before="1"/>
      </w:pPr>
      <w:bookmarkStart w:id="9" w:name="7._Selection_of_Finalists"/>
      <w:bookmarkEnd w:id="9"/>
      <w:r w:rsidRPr="00D13493">
        <w:t>Selection of</w:t>
      </w:r>
      <w:r w:rsidRPr="00D13493">
        <w:rPr>
          <w:spacing w:val="-7"/>
        </w:rPr>
        <w:t xml:space="preserve"> </w:t>
      </w:r>
      <w:r w:rsidRPr="00D13493">
        <w:t>Finalists</w:t>
      </w:r>
    </w:p>
    <w:p w14:paraId="23BA6338" w14:textId="77777777" w:rsidR="002B5F1F" w:rsidRPr="002B5F1F" w:rsidRDefault="002B5F1F" w:rsidP="002B5F1F">
      <w:pPr>
        <w:ind w:left="120"/>
        <w:jc w:val="both"/>
        <w:rPr>
          <w:sz w:val="24"/>
          <w:szCs w:val="24"/>
        </w:rPr>
      </w:pPr>
      <w:r w:rsidRPr="002B5F1F">
        <w:rPr>
          <w:sz w:val="24"/>
          <w:szCs w:val="24"/>
        </w:rPr>
        <w:t>Consultant and TRS staff will interview the semifinalist candidates and select a group of finalists.  On-site due diligence may be pursued for finalists.  The successful candidate(s) will be selected from the finalist pool.  All contracts and fee negotiations must be completed prior to funding.</w:t>
      </w:r>
    </w:p>
    <w:p w14:paraId="4F99381C" w14:textId="1B475EFF" w:rsidR="00D13493" w:rsidRDefault="00D13493">
      <w:pPr>
        <w:pStyle w:val="BodyText"/>
        <w:spacing w:before="8"/>
      </w:pPr>
    </w:p>
    <w:p w14:paraId="381D9805" w14:textId="77777777" w:rsidR="002B5F1F" w:rsidRDefault="002B5F1F">
      <w:pPr>
        <w:pStyle w:val="BodyText"/>
        <w:spacing w:before="8"/>
      </w:pPr>
    </w:p>
    <w:p w14:paraId="1111617C" w14:textId="77777777" w:rsidR="00EC3B40" w:rsidRDefault="00140911">
      <w:pPr>
        <w:pStyle w:val="Heading1"/>
        <w:spacing w:before="1" w:line="240" w:lineRule="auto"/>
        <w:ind w:left="120" w:firstLine="0"/>
        <w:jc w:val="left"/>
      </w:pPr>
      <w:bookmarkStart w:id="10" w:name="SELECTION_CRITERIA"/>
      <w:bookmarkEnd w:id="10"/>
      <w:r>
        <w:rPr>
          <w:u w:val="thick"/>
        </w:rPr>
        <w:t>SELECTION CRITERIA</w:t>
      </w:r>
    </w:p>
    <w:p w14:paraId="62D597E1" w14:textId="77777777" w:rsidR="00EC3B40" w:rsidRDefault="00EC3B40">
      <w:pPr>
        <w:pStyle w:val="BodyText"/>
        <w:spacing w:before="2"/>
        <w:rPr>
          <w:b/>
          <w:sz w:val="16"/>
        </w:rPr>
      </w:pPr>
    </w:p>
    <w:p w14:paraId="373077AB" w14:textId="77777777" w:rsidR="00EC3B40" w:rsidRDefault="00140911">
      <w:pPr>
        <w:spacing w:before="90"/>
        <w:ind w:left="120"/>
        <w:rPr>
          <w:b/>
          <w:sz w:val="24"/>
        </w:rPr>
      </w:pPr>
      <w:r>
        <w:rPr>
          <w:b/>
          <w:sz w:val="24"/>
          <w:u w:val="thick"/>
        </w:rPr>
        <w:t>Business and Organizational Factors</w:t>
      </w:r>
    </w:p>
    <w:p w14:paraId="596BA84C" w14:textId="77777777" w:rsidR="00EC3B40" w:rsidRDefault="00EC3B40">
      <w:pPr>
        <w:pStyle w:val="BodyText"/>
        <w:spacing w:before="11"/>
        <w:rPr>
          <w:b/>
          <w:sz w:val="15"/>
        </w:rPr>
      </w:pPr>
    </w:p>
    <w:p w14:paraId="122448E6" w14:textId="77777777" w:rsidR="00EC3B40" w:rsidRDefault="00774599">
      <w:pPr>
        <w:pStyle w:val="ListParagraph"/>
        <w:numPr>
          <w:ilvl w:val="0"/>
          <w:numId w:val="1"/>
        </w:numPr>
        <w:tabs>
          <w:tab w:val="left" w:pos="480"/>
        </w:tabs>
        <w:spacing w:before="90"/>
        <w:rPr>
          <w:b/>
          <w:sz w:val="24"/>
        </w:rPr>
      </w:pPr>
      <w:r>
        <w:rPr>
          <w:b/>
          <w:sz w:val="24"/>
        </w:rPr>
        <w:t>Total Asset Requirement</w:t>
      </w:r>
    </w:p>
    <w:p w14:paraId="150D5881" w14:textId="77777777" w:rsidR="00EC3B40" w:rsidRDefault="00140911">
      <w:pPr>
        <w:pStyle w:val="BodyText"/>
        <w:ind w:left="120" w:right="150"/>
        <w:jc w:val="both"/>
      </w:pPr>
      <w:r>
        <w:t>Preferably, candidate firms must have at least $500 million in total assets under management and at least $200 million combined in small and midcap products managed by a substantially similar investment team.</w:t>
      </w:r>
    </w:p>
    <w:p w14:paraId="3C090223" w14:textId="77777777" w:rsidR="00EC3B40" w:rsidRDefault="00EC3B40">
      <w:pPr>
        <w:pStyle w:val="BodyText"/>
        <w:spacing w:before="1"/>
        <w:rPr>
          <w:sz w:val="25"/>
        </w:rPr>
      </w:pPr>
    </w:p>
    <w:p w14:paraId="40A3D82C" w14:textId="679809FC" w:rsidR="00EC3B40" w:rsidRDefault="00774599">
      <w:pPr>
        <w:pStyle w:val="Heading1"/>
        <w:numPr>
          <w:ilvl w:val="0"/>
          <w:numId w:val="1"/>
        </w:numPr>
        <w:tabs>
          <w:tab w:val="left" w:pos="480"/>
        </w:tabs>
        <w:spacing w:line="274" w:lineRule="exact"/>
      </w:pPr>
      <w:bookmarkStart w:id="11" w:name="9._Years_Experience"/>
      <w:bookmarkEnd w:id="11"/>
      <w:r>
        <w:t>Investment Professional</w:t>
      </w:r>
      <w:r w:rsidRPr="00B74232">
        <w:t xml:space="preserve"> </w:t>
      </w:r>
      <w:r>
        <w:t>Experience</w:t>
      </w:r>
    </w:p>
    <w:p w14:paraId="68A8F98E" w14:textId="77777777" w:rsidR="00EC3B40" w:rsidRDefault="00140911">
      <w:pPr>
        <w:pStyle w:val="BodyText"/>
        <w:ind w:left="120" w:right="168"/>
        <w:jc w:val="both"/>
      </w:pPr>
      <w:r>
        <w:lastRenderedPageBreak/>
        <w:t>Candidates should have been in business for a minimum of five years; or, if recently established, employ</w:t>
      </w:r>
      <w:r>
        <w:rPr>
          <w:spacing w:val="-13"/>
        </w:rPr>
        <w:t xml:space="preserve"> </w:t>
      </w:r>
      <w:r>
        <w:t>principals</w:t>
      </w:r>
      <w:r>
        <w:rPr>
          <w:spacing w:val="-8"/>
        </w:rPr>
        <w:t xml:space="preserve"> </w:t>
      </w:r>
      <w:r>
        <w:t>who</w:t>
      </w:r>
      <w:r>
        <w:rPr>
          <w:spacing w:val="-7"/>
        </w:rPr>
        <w:t xml:space="preserve"> </w:t>
      </w:r>
      <w:r>
        <w:t>have</w:t>
      </w:r>
      <w:r>
        <w:rPr>
          <w:spacing w:val="-10"/>
        </w:rPr>
        <w:t xml:space="preserve"> </w:t>
      </w:r>
      <w:r>
        <w:t>ten</w:t>
      </w:r>
      <w:r>
        <w:rPr>
          <w:spacing w:val="-2"/>
        </w:rPr>
        <w:t xml:space="preserve"> </w:t>
      </w:r>
      <w:r>
        <w:t>years</w:t>
      </w:r>
      <w:r>
        <w:rPr>
          <w:spacing w:val="-8"/>
        </w:rPr>
        <w:t xml:space="preserve"> </w:t>
      </w:r>
      <w:r>
        <w:t>of</w:t>
      </w:r>
      <w:r>
        <w:rPr>
          <w:spacing w:val="-7"/>
        </w:rPr>
        <w:t xml:space="preserve"> </w:t>
      </w:r>
      <w:r>
        <w:t>investment</w:t>
      </w:r>
      <w:r>
        <w:rPr>
          <w:spacing w:val="-8"/>
        </w:rPr>
        <w:t xml:space="preserve"> </w:t>
      </w:r>
      <w:r>
        <w:t>experience</w:t>
      </w:r>
      <w:r>
        <w:rPr>
          <w:spacing w:val="-7"/>
        </w:rPr>
        <w:t xml:space="preserve"> </w:t>
      </w:r>
      <w:r>
        <w:t>and</w:t>
      </w:r>
      <w:r>
        <w:rPr>
          <w:spacing w:val="-9"/>
        </w:rPr>
        <w:t xml:space="preserve"> </w:t>
      </w:r>
      <w:r>
        <w:t>possess</w:t>
      </w:r>
      <w:r>
        <w:rPr>
          <w:spacing w:val="-7"/>
        </w:rPr>
        <w:t xml:space="preserve"> </w:t>
      </w:r>
      <w:r>
        <w:t>a</w:t>
      </w:r>
      <w:r>
        <w:rPr>
          <w:spacing w:val="-22"/>
        </w:rPr>
        <w:t xml:space="preserve"> </w:t>
      </w:r>
      <w:r>
        <w:t>documentable</w:t>
      </w:r>
      <w:r>
        <w:rPr>
          <w:spacing w:val="-10"/>
        </w:rPr>
        <w:t xml:space="preserve"> </w:t>
      </w:r>
      <w:r>
        <w:t>track record.</w:t>
      </w:r>
    </w:p>
    <w:p w14:paraId="357ABA2B" w14:textId="77777777" w:rsidR="00EC3B40" w:rsidRDefault="00EC3B40">
      <w:pPr>
        <w:pStyle w:val="BodyText"/>
        <w:spacing w:before="1"/>
        <w:rPr>
          <w:sz w:val="25"/>
        </w:rPr>
      </w:pPr>
    </w:p>
    <w:p w14:paraId="4044C795" w14:textId="4EC40501" w:rsidR="00EC3B40" w:rsidRDefault="00140911">
      <w:pPr>
        <w:pStyle w:val="Heading1"/>
        <w:numPr>
          <w:ilvl w:val="0"/>
          <w:numId w:val="1"/>
        </w:numPr>
        <w:tabs>
          <w:tab w:val="left" w:pos="480"/>
        </w:tabs>
      </w:pPr>
      <w:bookmarkStart w:id="12" w:name="10._Experience_and_Stability_of_Professi"/>
      <w:bookmarkEnd w:id="12"/>
      <w:r>
        <w:t>Stability of Professional</w:t>
      </w:r>
      <w:r>
        <w:rPr>
          <w:spacing w:val="-17"/>
        </w:rPr>
        <w:t xml:space="preserve"> </w:t>
      </w:r>
      <w:r>
        <w:t>Staff</w:t>
      </w:r>
    </w:p>
    <w:p w14:paraId="29A96F4E" w14:textId="77777777" w:rsidR="00EC3B40" w:rsidRDefault="00140911">
      <w:pPr>
        <w:pStyle w:val="BodyText"/>
        <w:ind w:left="120" w:right="131"/>
        <w:jc w:val="both"/>
      </w:pPr>
      <w:r>
        <w:t>It</w:t>
      </w:r>
      <w:r>
        <w:rPr>
          <w:spacing w:val="-16"/>
        </w:rPr>
        <w:t xml:space="preserve"> </w:t>
      </w:r>
      <w:r>
        <w:t>is</w:t>
      </w:r>
      <w:r>
        <w:rPr>
          <w:spacing w:val="-14"/>
        </w:rPr>
        <w:t xml:space="preserve"> </w:t>
      </w:r>
      <w:r>
        <w:t>essential</w:t>
      </w:r>
      <w:r>
        <w:rPr>
          <w:spacing w:val="-16"/>
        </w:rPr>
        <w:t xml:space="preserve"> </w:t>
      </w:r>
      <w:r>
        <w:t>that</w:t>
      </w:r>
      <w:r>
        <w:rPr>
          <w:spacing w:val="-14"/>
        </w:rPr>
        <w:t xml:space="preserve"> </w:t>
      </w:r>
      <w:r>
        <w:t>candidates</w:t>
      </w:r>
      <w:r>
        <w:rPr>
          <w:spacing w:val="-17"/>
        </w:rPr>
        <w:t xml:space="preserve"> </w:t>
      </w:r>
      <w:r>
        <w:t>exhibit</w:t>
      </w:r>
      <w:r>
        <w:rPr>
          <w:spacing w:val="-16"/>
        </w:rPr>
        <w:t xml:space="preserve"> </w:t>
      </w:r>
      <w:r>
        <w:t>organizational</w:t>
      </w:r>
      <w:r>
        <w:rPr>
          <w:spacing w:val="-14"/>
        </w:rPr>
        <w:t xml:space="preserve"> </w:t>
      </w:r>
      <w:r>
        <w:t>stability</w:t>
      </w:r>
      <w:r>
        <w:rPr>
          <w:spacing w:val="-22"/>
        </w:rPr>
        <w:t xml:space="preserve"> </w:t>
      </w:r>
      <w:r>
        <w:t>and</w:t>
      </w:r>
      <w:r>
        <w:rPr>
          <w:spacing w:val="-17"/>
        </w:rPr>
        <w:t xml:space="preserve"> </w:t>
      </w:r>
      <w:r>
        <w:t>have</w:t>
      </w:r>
      <w:r>
        <w:rPr>
          <w:spacing w:val="-15"/>
        </w:rPr>
        <w:t xml:space="preserve"> </w:t>
      </w:r>
      <w:r>
        <w:t>compensation</w:t>
      </w:r>
      <w:r>
        <w:rPr>
          <w:spacing w:val="-27"/>
        </w:rPr>
        <w:t xml:space="preserve"> </w:t>
      </w:r>
      <w:r>
        <w:t>and</w:t>
      </w:r>
      <w:r>
        <w:rPr>
          <w:spacing w:val="-17"/>
        </w:rPr>
        <w:t xml:space="preserve"> </w:t>
      </w:r>
      <w:r>
        <w:t>ownership programs</w:t>
      </w:r>
      <w:r>
        <w:rPr>
          <w:spacing w:val="-4"/>
        </w:rPr>
        <w:t xml:space="preserve"> </w:t>
      </w:r>
      <w:r>
        <w:t>that</w:t>
      </w:r>
      <w:r>
        <w:rPr>
          <w:spacing w:val="-3"/>
        </w:rPr>
        <w:t xml:space="preserve"> </w:t>
      </w:r>
      <w:r>
        <w:t>provide</w:t>
      </w:r>
      <w:r>
        <w:rPr>
          <w:spacing w:val="-2"/>
        </w:rPr>
        <w:t xml:space="preserve"> </w:t>
      </w:r>
      <w:r>
        <w:t>reasonable</w:t>
      </w:r>
      <w:r>
        <w:rPr>
          <w:spacing w:val="-5"/>
        </w:rPr>
        <w:t xml:space="preserve"> </w:t>
      </w:r>
      <w:r>
        <w:t>assurance</w:t>
      </w:r>
      <w:r>
        <w:rPr>
          <w:spacing w:val="-5"/>
        </w:rPr>
        <w:t xml:space="preserve"> </w:t>
      </w:r>
      <w:r>
        <w:t>of</w:t>
      </w:r>
      <w:r>
        <w:rPr>
          <w:spacing w:val="-5"/>
        </w:rPr>
        <w:t xml:space="preserve"> </w:t>
      </w:r>
      <w:r>
        <w:t>their</w:t>
      </w:r>
      <w:r>
        <w:rPr>
          <w:spacing w:val="-5"/>
        </w:rPr>
        <w:t xml:space="preserve"> </w:t>
      </w:r>
      <w:r>
        <w:t>ability</w:t>
      </w:r>
      <w:r>
        <w:rPr>
          <w:spacing w:val="-9"/>
        </w:rPr>
        <w:t xml:space="preserve"> </w:t>
      </w:r>
      <w:r>
        <w:t>to</w:t>
      </w:r>
      <w:r>
        <w:rPr>
          <w:spacing w:val="-4"/>
        </w:rPr>
        <w:t xml:space="preserve"> </w:t>
      </w:r>
      <w:r>
        <w:t>retain</w:t>
      </w:r>
      <w:r>
        <w:rPr>
          <w:spacing w:val="-4"/>
        </w:rPr>
        <w:t xml:space="preserve"> </w:t>
      </w:r>
      <w:r>
        <w:t>key</w:t>
      </w:r>
      <w:r>
        <w:rPr>
          <w:spacing w:val="-28"/>
        </w:rPr>
        <w:t xml:space="preserve"> </w:t>
      </w:r>
      <w:r>
        <w:t>investment</w:t>
      </w:r>
      <w:r>
        <w:rPr>
          <w:spacing w:val="-3"/>
        </w:rPr>
        <w:t xml:space="preserve"> </w:t>
      </w:r>
      <w:r>
        <w:t>professionals. Key members of the portfolio management equity team should have been managing small or mid cap</w:t>
      </w:r>
      <w:r>
        <w:rPr>
          <w:spacing w:val="-2"/>
        </w:rPr>
        <w:t xml:space="preserve"> </w:t>
      </w:r>
      <w:r>
        <w:t>portfolios</w:t>
      </w:r>
      <w:r>
        <w:rPr>
          <w:spacing w:val="-2"/>
        </w:rPr>
        <w:t xml:space="preserve"> </w:t>
      </w:r>
      <w:r>
        <w:t>for</w:t>
      </w:r>
      <w:r>
        <w:rPr>
          <w:spacing w:val="-1"/>
        </w:rPr>
        <w:t xml:space="preserve"> </w:t>
      </w:r>
      <w:r>
        <w:t>at</w:t>
      </w:r>
      <w:r>
        <w:rPr>
          <w:spacing w:val="-2"/>
        </w:rPr>
        <w:t xml:space="preserve"> </w:t>
      </w:r>
      <w:r>
        <w:t>least five</w:t>
      </w:r>
      <w:r>
        <w:rPr>
          <w:spacing w:val="-1"/>
        </w:rPr>
        <w:t xml:space="preserve"> </w:t>
      </w:r>
      <w:r>
        <w:t>years</w:t>
      </w:r>
      <w:r>
        <w:rPr>
          <w:spacing w:val="-2"/>
        </w:rPr>
        <w:t xml:space="preserve"> </w:t>
      </w:r>
      <w:r>
        <w:t>and</w:t>
      </w:r>
      <w:r>
        <w:rPr>
          <w:spacing w:val="-2"/>
        </w:rPr>
        <w:t xml:space="preserve"> </w:t>
      </w:r>
      <w:r>
        <w:t>have</w:t>
      </w:r>
      <w:r>
        <w:rPr>
          <w:spacing w:val="-3"/>
        </w:rPr>
        <w:t xml:space="preserve"> </w:t>
      </w:r>
      <w:r>
        <w:t>at</w:t>
      </w:r>
      <w:r>
        <w:rPr>
          <w:spacing w:val="-2"/>
        </w:rPr>
        <w:t xml:space="preserve"> </w:t>
      </w:r>
      <w:r>
        <w:t>least</w:t>
      </w:r>
      <w:r>
        <w:rPr>
          <w:spacing w:val="-2"/>
        </w:rPr>
        <w:t xml:space="preserve"> </w:t>
      </w:r>
      <w:r>
        <w:t>three</w:t>
      </w:r>
      <w:r>
        <w:rPr>
          <w:spacing w:val="1"/>
        </w:rPr>
        <w:t xml:space="preserve"> </w:t>
      </w:r>
      <w:r>
        <w:t>years</w:t>
      </w:r>
      <w:r>
        <w:rPr>
          <w:spacing w:val="-2"/>
        </w:rPr>
        <w:t xml:space="preserve"> </w:t>
      </w:r>
      <w:r>
        <w:t>tenure</w:t>
      </w:r>
      <w:r>
        <w:rPr>
          <w:spacing w:val="-26"/>
        </w:rPr>
        <w:t xml:space="preserve"> </w:t>
      </w:r>
      <w:r>
        <w:t>at</w:t>
      </w:r>
      <w:r>
        <w:rPr>
          <w:spacing w:val="-2"/>
        </w:rPr>
        <w:t xml:space="preserve"> </w:t>
      </w:r>
      <w:r>
        <w:t>the</w:t>
      </w:r>
      <w:r>
        <w:rPr>
          <w:spacing w:val="-3"/>
        </w:rPr>
        <w:t xml:space="preserve"> </w:t>
      </w:r>
      <w:r>
        <w:t>candidate</w:t>
      </w:r>
      <w:r>
        <w:rPr>
          <w:spacing w:val="-8"/>
        </w:rPr>
        <w:t xml:space="preserve"> </w:t>
      </w:r>
      <w:r>
        <w:t>firm.</w:t>
      </w:r>
    </w:p>
    <w:p w14:paraId="641FC472" w14:textId="77777777" w:rsidR="00EC3B40" w:rsidRDefault="00EC3B40">
      <w:pPr>
        <w:pStyle w:val="BodyText"/>
        <w:spacing w:before="2"/>
        <w:rPr>
          <w:sz w:val="25"/>
        </w:rPr>
      </w:pPr>
    </w:p>
    <w:p w14:paraId="31C043B3" w14:textId="77777777" w:rsidR="00EC3B40" w:rsidRDefault="00140911">
      <w:pPr>
        <w:pStyle w:val="Heading1"/>
        <w:numPr>
          <w:ilvl w:val="0"/>
          <w:numId w:val="1"/>
        </w:numPr>
        <w:tabs>
          <w:tab w:val="left" w:pos="480"/>
        </w:tabs>
      </w:pPr>
      <w:bookmarkStart w:id="13" w:name="11._Geographic_Location"/>
      <w:bookmarkEnd w:id="13"/>
      <w:r>
        <w:t>Geographic</w:t>
      </w:r>
      <w:r>
        <w:rPr>
          <w:spacing w:val="-9"/>
        </w:rPr>
        <w:t xml:space="preserve"> </w:t>
      </w:r>
      <w:r>
        <w:t>Location</w:t>
      </w:r>
    </w:p>
    <w:p w14:paraId="37F1EE4A" w14:textId="77777777" w:rsidR="00EC3B40" w:rsidRDefault="00140911">
      <w:pPr>
        <w:pStyle w:val="BodyText"/>
        <w:ind w:left="119" w:right="119"/>
        <w:jc w:val="both"/>
      </w:pPr>
      <w:r>
        <w:t>TRS</w:t>
      </w:r>
      <w:r>
        <w:rPr>
          <w:spacing w:val="-10"/>
        </w:rPr>
        <w:t xml:space="preserve"> </w:t>
      </w:r>
      <w:r>
        <w:t>does</w:t>
      </w:r>
      <w:r>
        <w:rPr>
          <w:spacing w:val="-11"/>
        </w:rPr>
        <w:t xml:space="preserve"> </w:t>
      </w:r>
      <w:r>
        <w:t>not</w:t>
      </w:r>
      <w:r>
        <w:rPr>
          <w:spacing w:val="-11"/>
        </w:rPr>
        <w:t xml:space="preserve"> </w:t>
      </w:r>
      <w:r>
        <w:t>have</w:t>
      </w:r>
      <w:r>
        <w:rPr>
          <w:spacing w:val="-12"/>
        </w:rPr>
        <w:t xml:space="preserve"> </w:t>
      </w:r>
      <w:r>
        <w:t>particular</w:t>
      </w:r>
      <w:r>
        <w:rPr>
          <w:spacing w:val="-12"/>
        </w:rPr>
        <w:t xml:space="preserve"> </w:t>
      </w:r>
      <w:r>
        <w:t>specifications</w:t>
      </w:r>
      <w:r>
        <w:rPr>
          <w:spacing w:val="-11"/>
        </w:rPr>
        <w:t xml:space="preserve"> </w:t>
      </w:r>
      <w:r>
        <w:t>with</w:t>
      </w:r>
      <w:r>
        <w:rPr>
          <w:spacing w:val="-9"/>
        </w:rPr>
        <w:t xml:space="preserve"> </w:t>
      </w:r>
      <w:r>
        <w:t>regard</w:t>
      </w:r>
      <w:r>
        <w:rPr>
          <w:spacing w:val="-9"/>
        </w:rPr>
        <w:t xml:space="preserve"> </w:t>
      </w:r>
      <w:r>
        <w:t>to</w:t>
      </w:r>
      <w:r>
        <w:rPr>
          <w:spacing w:val="-9"/>
        </w:rPr>
        <w:t xml:space="preserve"> </w:t>
      </w:r>
      <w:r>
        <w:t>geographic</w:t>
      </w:r>
      <w:r>
        <w:rPr>
          <w:spacing w:val="-10"/>
        </w:rPr>
        <w:t xml:space="preserve"> </w:t>
      </w:r>
      <w:r>
        <w:t>location,</w:t>
      </w:r>
      <w:r>
        <w:rPr>
          <w:spacing w:val="-11"/>
        </w:rPr>
        <w:t xml:space="preserve"> </w:t>
      </w:r>
      <w:r>
        <w:t>but</w:t>
      </w:r>
      <w:r>
        <w:rPr>
          <w:spacing w:val="-11"/>
        </w:rPr>
        <w:t xml:space="preserve"> </w:t>
      </w:r>
      <w:r>
        <w:t>wishes</w:t>
      </w:r>
      <w:r>
        <w:rPr>
          <w:spacing w:val="-20"/>
        </w:rPr>
        <w:t xml:space="preserve"> </w:t>
      </w:r>
      <w:r>
        <w:t>to</w:t>
      </w:r>
      <w:r>
        <w:rPr>
          <w:spacing w:val="-11"/>
        </w:rPr>
        <w:t xml:space="preserve"> </w:t>
      </w:r>
      <w:r>
        <w:t>build a solid, long-term relationship with the manager. Periodic manager presentations at TRS headquarters in Springfield, IL will be required. This would include presentations by finalist candidates, annual reviews and special staff requests. The managers must be able to conveniently meet TRS servicing</w:t>
      </w:r>
      <w:r>
        <w:rPr>
          <w:spacing w:val="-20"/>
        </w:rPr>
        <w:t xml:space="preserve"> </w:t>
      </w:r>
      <w:r>
        <w:t>requirements.</w:t>
      </w:r>
    </w:p>
    <w:p w14:paraId="574F5291" w14:textId="77777777" w:rsidR="00EC3B40" w:rsidRDefault="00EC3B40">
      <w:pPr>
        <w:pStyle w:val="BodyText"/>
        <w:spacing w:before="1"/>
        <w:rPr>
          <w:sz w:val="25"/>
        </w:rPr>
      </w:pPr>
    </w:p>
    <w:p w14:paraId="191F5BAC" w14:textId="77777777" w:rsidR="00EC3B40" w:rsidRDefault="00140911">
      <w:pPr>
        <w:pStyle w:val="Heading1"/>
        <w:numPr>
          <w:ilvl w:val="0"/>
          <w:numId w:val="1"/>
        </w:numPr>
        <w:tabs>
          <w:tab w:val="left" w:pos="480"/>
        </w:tabs>
      </w:pPr>
      <w:bookmarkStart w:id="14" w:name="12._Involvement_with_Other_Business"/>
      <w:bookmarkEnd w:id="14"/>
      <w:r>
        <w:t>Involvement with Other</w:t>
      </w:r>
      <w:r>
        <w:rPr>
          <w:spacing w:val="-15"/>
        </w:rPr>
        <w:t xml:space="preserve"> </w:t>
      </w:r>
      <w:r>
        <w:t>Business</w:t>
      </w:r>
    </w:p>
    <w:p w14:paraId="630C848A" w14:textId="77777777" w:rsidR="00EC3B40" w:rsidRDefault="00140911">
      <w:pPr>
        <w:pStyle w:val="BodyText"/>
        <w:ind w:left="119" w:right="122"/>
        <w:jc w:val="both"/>
      </w:pPr>
      <w:r>
        <w:t>The focus of the organization should to be institutional money management. Involvement with other</w:t>
      </w:r>
      <w:r>
        <w:rPr>
          <w:spacing w:val="-18"/>
        </w:rPr>
        <w:t xml:space="preserve"> </w:t>
      </w:r>
      <w:r>
        <w:t>businesses</w:t>
      </w:r>
      <w:r>
        <w:rPr>
          <w:spacing w:val="-17"/>
        </w:rPr>
        <w:t xml:space="preserve"> </w:t>
      </w:r>
      <w:r>
        <w:t>will</w:t>
      </w:r>
      <w:r>
        <w:rPr>
          <w:spacing w:val="-16"/>
        </w:rPr>
        <w:t xml:space="preserve"> </w:t>
      </w:r>
      <w:r>
        <w:t>be</w:t>
      </w:r>
      <w:r>
        <w:rPr>
          <w:spacing w:val="-18"/>
        </w:rPr>
        <w:t xml:space="preserve"> </w:t>
      </w:r>
      <w:r>
        <w:t>judged</w:t>
      </w:r>
      <w:r>
        <w:rPr>
          <w:spacing w:val="-17"/>
        </w:rPr>
        <w:t xml:space="preserve"> </w:t>
      </w:r>
      <w:r>
        <w:t>on</w:t>
      </w:r>
      <w:r>
        <w:rPr>
          <w:spacing w:val="-17"/>
        </w:rPr>
        <w:t xml:space="preserve"> </w:t>
      </w:r>
      <w:r>
        <w:t>its</w:t>
      </w:r>
      <w:r>
        <w:rPr>
          <w:spacing w:val="-17"/>
        </w:rPr>
        <w:t xml:space="preserve"> </w:t>
      </w:r>
      <w:r>
        <w:t>individual</w:t>
      </w:r>
      <w:r>
        <w:rPr>
          <w:spacing w:val="-16"/>
        </w:rPr>
        <w:t xml:space="preserve"> </w:t>
      </w:r>
      <w:r>
        <w:t>merits</w:t>
      </w:r>
      <w:r>
        <w:rPr>
          <w:spacing w:val="-17"/>
        </w:rPr>
        <w:t xml:space="preserve"> </w:t>
      </w:r>
      <w:r>
        <w:t>and</w:t>
      </w:r>
      <w:r>
        <w:rPr>
          <w:spacing w:val="-17"/>
        </w:rPr>
        <w:t xml:space="preserve"> </w:t>
      </w:r>
      <w:r>
        <w:t>any</w:t>
      </w:r>
      <w:r>
        <w:rPr>
          <w:spacing w:val="-21"/>
        </w:rPr>
        <w:t xml:space="preserve"> </w:t>
      </w:r>
      <w:r>
        <w:t>conflicts</w:t>
      </w:r>
      <w:r>
        <w:rPr>
          <w:spacing w:val="-17"/>
        </w:rPr>
        <w:t xml:space="preserve"> </w:t>
      </w:r>
      <w:r>
        <w:t>of</w:t>
      </w:r>
      <w:r>
        <w:rPr>
          <w:spacing w:val="-18"/>
        </w:rPr>
        <w:t xml:space="preserve"> </w:t>
      </w:r>
      <w:r>
        <w:t>interest</w:t>
      </w:r>
      <w:r>
        <w:rPr>
          <w:spacing w:val="-16"/>
        </w:rPr>
        <w:t xml:space="preserve"> </w:t>
      </w:r>
      <w:r>
        <w:t>will</w:t>
      </w:r>
      <w:r>
        <w:rPr>
          <w:spacing w:val="-30"/>
        </w:rPr>
        <w:t xml:space="preserve"> </w:t>
      </w:r>
      <w:r>
        <w:t>be</w:t>
      </w:r>
      <w:r>
        <w:rPr>
          <w:spacing w:val="-18"/>
        </w:rPr>
        <w:t xml:space="preserve"> </w:t>
      </w:r>
      <w:r>
        <w:t>avoided. No placement, broker, solicitors, or any third-party intermediary “finder fees” will be allowed or payable under any circumstances in connection with the selection of managers to manage TRS assets.</w:t>
      </w:r>
    </w:p>
    <w:p w14:paraId="72457EAB" w14:textId="77777777" w:rsidR="00EC3B40" w:rsidRDefault="00EC3B40">
      <w:pPr>
        <w:pStyle w:val="BodyText"/>
        <w:spacing w:before="2"/>
        <w:rPr>
          <w:sz w:val="25"/>
        </w:rPr>
      </w:pPr>
    </w:p>
    <w:p w14:paraId="6F194C78" w14:textId="77777777" w:rsidR="00EC3B40" w:rsidRDefault="00140911">
      <w:pPr>
        <w:pStyle w:val="Heading1"/>
        <w:numPr>
          <w:ilvl w:val="0"/>
          <w:numId w:val="1"/>
        </w:numPr>
        <w:tabs>
          <w:tab w:val="left" w:pos="480"/>
        </w:tabs>
      </w:pPr>
      <w:bookmarkStart w:id="15" w:name="13._Financial_Well-Being_of_Firm"/>
      <w:bookmarkEnd w:id="15"/>
      <w:r>
        <w:t>Financial Well-Being of</w:t>
      </w:r>
      <w:r>
        <w:rPr>
          <w:spacing w:val="-13"/>
        </w:rPr>
        <w:t xml:space="preserve"> </w:t>
      </w:r>
      <w:r>
        <w:t>Firm</w:t>
      </w:r>
    </w:p>
    <w:p w14:paraId="38979C98" w14:textId="77777777" w:rsidR="00EC3B40" w:rsidRDefault="00140911">
      <w:pPr>
        <w:pStyle w:val="BodyText"/>
        <w:ind w:left="119" w:right="121"/>
        <w:jc w:val="both"/>
      </w:pPr>
      <w:r>
        <w:t>Candidates should be able to demonstrate a high probability of continuing commitment to the investment management of institutional defined benefit plans and have the financial resources to weather a poor business environment without significant change in their investment process or organization.</w:t>
      </w:r>
    </w:p>
    <w:p w14:paraId="0842C6B2" w14:textId="77777777" w:rsidR="00F84321" w:rsidRDefault="00F84321" w:rsidP="00F84321">
      <w:pPr>
        <w:jc w:val="both"/>
      </w:pPr>
      <w:r>
        <w:t xml:space="preserve">  </w:t>
      </w:r>
    </w:p>
    <w:p w14:paraId="7EBDB0EA" w14:textId="437F5889" w:rsidR="00EC3B40" w:rsidRPr="00F84321" w:rsidRDefault="00F84321" w:rsidP="00F84321">
      <w:pPr>
        <w:ind w:left="90" w:right="130"/>
        <w:jc w:val="both"/>
        <w:rPr>
          <w:sz w:val="24"/>
          <w:szCs w:val="24"/>
        </w:rPr>
      </w:pPr>
      <w:r w:rsidRPr="00F84321">
        <w:rPr>
          <w:sz w:val="24"/>
          <w:szCs w:val="24"/>
        </w:rPr>
        <w:t>P</w:t>
      </w:r>
      <w:r w:rsidR="00140911" w:rsidRPr="00F84321">
        <w:rPr>
          <w:sz w:val="24"/>
          <w:szCs w:val="24"/>
        </w:rPr>
        <w:t xml:space="preserve">rofessional liability insurance is required. </w:t>
      </w:r>
      <w:r>
        <w:rPr>
          <w:sz w:val="24"/>
          <w:szCs w:val="24"/>
        </w:rPr>
        <w:t xml:space="preserve"> </w:t>
      </w:r>
      <w:r w:rsidR="00140911" w:rsidRPr="00F84321">
        <w:rPr>
          <w:sz w:val="24"/>
          <w:szCs w:val="24"/>
        </w:rPr>
        <w:t>The ADVs of candidate firms will be reviewed for any past or current securities litigation, securities law violations or SEC censure. Any such issues will be subject to further questions and clarification by the TRS staff.</w:t>
      </w:r>
    </w:p>
    <w:p w14:paraId="4E390974" w14:textId="77777777" w:rsidR="00EC3B40" w:rsidRDefault="00EC3B40">
      <w:pPr>
        <w:pStyle w:val="BodyText"/>
        <w:spacing w:before="8"/>
      </w:pPr>
    </w:p>
    <w:p w14:paraId="7D2C7822" w14:textId="77777777" w:rsidR="00EC3B40" w:rsidRDefault="00140911">
      <w:pPr>
        <w:pStyle w:val="Heading1"/>
        <w:numPr>
          <w:ilvl w:val="0"/>
          <w:numId w:val="1"/>
        </w:numPr>
        <w:tabs>
          <w:tab w:val="left" w:pos="480"/>
        </w:tabs>
        <w:spacing w:before="1"/>
      </w:pPr>
      <w:bookmarkStart w:id="16" w:name="14._Long_Range_Plan"/>
      <w:bookmarkEnd w:id="16"/>
      <w:r>
        <w:t>Long Range</w:t>
      </w:r>
      <w:r>
        <w:rPr>
          <w:spacing w:val="-9"/>
        </w:rPr>
        <w:t xml:space="preserve"> </w:t>
      </w:r>
      <w:r>
        <w:t>Plan</w:t>
      </w:r>
    </w:p>
    <w:p w14:paraId="2E09BE1E" w14:textId="77777777" w:rsidR="00EC3B40" w:rsidRDefault="00140911">
      <w:pPr>
        <w:pStyle w:val="BodyText"/>
        <w:ind w:left="119" w:right="101"/>
        <w:jc w:val="both"/>
      </w:pPr>
      <w:r>
        <w:t>The firm must be professionally managed and have a long-range business plan, demonstrating a commitment to institutional defined benefit plan management. Candidates should have a controlled growth policy (e.g. limits on accounts per manager or assets per product) and provide reasonable assurance that they will be capable of absorbing additional assets both from TRS and other accounts, without altering their basic investment philosophy and approach.</w:t>
      </w:r>
    </w:p>
    <w:p w14:paraId="46CF51DA" w14:textId="77777777" w:rsidR="00EC3B40" w:rsidRDefault="00EC3B40">
      <w:pPr>
        <w:pStyle w:val="BodyText"/>
        <w:spacing w:before="1"/>
        <w:rPr>
          <w:sz w:val="25"/>
        </w:rPr>
      </w:pPr>
    </w:p>
    <w:p w14:paraId="1A83E094" w14:textId="77777777" w:rsidR="00EC3B40" w:rsidRDefault="00140911">
      <w:pPr>
        <w:pStyle w:val="Heading1"/>
        <w:spacing w:line="240" w:lineRule="auto"/>
        <w:ind w:left="120" w:firstLine="0"/>
      </w:pPr>
      <w:bookmarkStart w:id="17" w:name="Investment_Process_Factors"/>
      <w:bookmarkEnd w:id="17"/>
      <w:r>
        <w:rPr>
          <w:u w:val="thick"/>
        </w:rPr>
        <w:t>Investment Process Factors</w:t>
      </w:r>
    </w:p>
    <w:p w14:paraId="504B5313" w14:textId="77777777" w:rsidR="00EC3B40" w:rsidRDefault="00EC3B40">
      <w:pPr>
        <w:pStyle w:val="BodyText"/>
        <w:spacing w:before="10"/>
        <w:rPr>
          <w:b/>
          <w:sz w:val="15"/>
        </w:rPr>
      </w:pPr>
    </w:p>
    <w:p w14:paraId="74BEDA6A" w14:textId="77777777" w:rsidR="00EC3B40" w:rsidRDefault="00140911">
      <w:pPr>
        <w:pStyle w:val="ListParagraph"/>
        <w:numPr>
          <w:ilvl w:val="0"/>
          <w:numId w:val="1"/>
        </w:numPr>
        <w:tabs>
          <w:tab w:val="left" w:pos="540"/>
        </w:tabs>
        <w:spacing w:before="90" w:line="274" w:lineRule="exact"/>
        <w:ind w:left="540" w:hanging="420"/>
        <w:rPr>
          <w:b/>
          <w:sz w:val="24"/>
        </w:rPr>
      </w:pPr>
      <w:r>
        <w:rPr>
          <w:b/>
          <w:sz w:val="24"/>
        </w:rPr>
        <w:t>Investment</w:t>
      </w:r>
      <w:r>
        <w:rPr>
          <w:b/>
          <w:spacing w:val="-10"/>
          <w:sz w:val="24"/>
        </w:rPr>
        <w:t xml:space="preserve"> </w:t>
      </w:r>
      <w:r>
        <w:rPr>
          <w:b/>
          <w:sz w:val="24"/>
        </w:rPr>
        <w:t>Style</w:t>
      </w:r>
    </w:p>
    <w:p w14:paraId="58CDFE88" w14:textId="77777777" w:rsidR="00EC3B40" w:rsidRDefault="00140911">
      <w:pPr>
        <w:pStyle w:val="BodyText"/>
        <w:ind w:left="120" w:right="102"/>
        <w:jc w:val="both"/>
      </w:pPr>
      <w:r>
        <w:t xml:space="preserve">Candidate firms must have a small or mid cap oriented investment philosophy and strategy that has been clearly articulated and consistently applied over time. Clearly defined buy and sell disciplines are particularly important. Portfolios should be well diversified with specific limits on concentration of individual securities and industries. This portfolio will serve as a complement to </w:t>
      </w:r>
      <w:r>
        <w:lastRenderedPageBreak/>
        <w:t>other TRS small or mid cap assignments.</w:t>
      </w:r>
    </w:p>
    <w:p w14:paraId="71AA8224" w14:textId="77777777" w:rsidR="00EC3B40" w:rsidRDefault="00EC3B40">
      <w:pPr>
        <w:pStyle w:val="BodyText"/>
        <w:spacing w:before="1"/>
        <w:rPr>
          <w:sz w:val="25"/>
        </w:rPr>
      </w:pPr>
    </w:p>
    <w:p w14:paraId="7AB97B63" w14:textId="77777777" w:rsidR="00F84321" w:rsidRDefault="00F84321">
      <w:pPr>
        <w:pStyle w:val="BodyText"/>
        <w:spacing w:before="1"/>
        <w:rPr>
          <w:sz w:val="25"/>
        </w:rPr>
      </w:pPr>
    </w:p>
    <w:p w14:paraId="38BF7D4D" w14:textId="77777777" w:rsidR="00F84321" w:rsidRDefault="00F84321">
      <w:pPr>
        <w:pStyle w:val="BodyText"/>
        <w:spacing w:before="1"/>
        <w:rPr>
          <w:sz w:val="25"/>
        </w:rPr>
      </w:pPr>
    </w:p>
    <w:p w14:paraId="354F9E02" w14:textId="77777777" w:rsidR="00EC3B40" w:rsidRDefault="00140911">
      <w:pPr>
        <w:pStyle w:val="Heading1"/>
        <w:numPr>
          <w:ilvl w:val="0"/>
          <w:numId w:val="1"/>
        </w:numPr>
        <w:tabs>
          <w:tab w:val="left" w:pos="480"/>
        </w:tabs>
      </w:pPr>
      <w:bookmarkStart w:id="18" w:name="16._Investment_Research"/>
      <w:bookmarkEnd w:id="18"/>
      <w:r>
        <w:t>Investment</w:t>
      </w:r>
      <w:r>
        <w:rPr>
          <w:spacing w:val="-11"/>
        </w:rPr>
        <w:t xml:space="preserve"> </w:t>
      </w:r>
      <w:r>
        <w:t>Research</w:t>
      </w:r>
    </w:p>
    <w:p w14:paraId="4A6D812D" w14:textId="77777777" w:rsidR="00EC3B40" w:rsidRDefault="00140911">
      <w:pPr>
        <w:pStyle w:val="BodyText"/>
        <w:ind w:left="120"/>
      </w:pPr>
      <w:r>
        <w:t>TRS has a preference for managers that conduct internal research. The research may be either qualitative or quantitative in nature.</w:t>
      </w:r>
    </w:p>
    <w:p w14:paraId="66017C01" w14:textId="77777777" w:rsidR="00EC3B40" w:rsidRDefault="00EC3B40">
      <w:pPr>
        <w:pStyle w:val="BodyText"/>
        <w:spacing w:before="1"/>
        <w:rPr>
          <w:sz w:val="25"/>
        </w:rPr>
      </w:pPr>
    </w:p>
    <w:p w14:paraId="61FF1857" w14:textId="77777777" w:rsidR="00EC3B40" w:rsidRDefault="00140911">
      <w:pPr>
        <w:pStyle w:val="Heading1"/>
        <w:spacing w:line="240" w:lineRule="auto"/>
        <w:ind w:left="120" w:firstLine="0"/>
      </w:pPr>
      <w:bookmarkStart w:id="19" w:name="Performance_Factors"/>
      <w:bookmarkEnd w:id="19"/>
      <w:r>
        <w:rPr>
          <w:u w:val="thick"/>
        </w:rPr>
        <w:t>Performance Factors</w:t>
      </w:r>
    </w:p>
    <w:p w14:paraId="1255A39D" w14:textId="77777777" w:rsidR="00EC3B40" w:rsidRDefault="00EC3B40">
      <w:pPr>
        <w:pStyle w:val="BodyText"/>
        <w:spacing w:before="10"/>
        <w:rPr>
          <w:b/>
          <w:sz w:val="15"/>
        </w:rPr>
      </w:pPr>
    </w:p>
    <w:p w14:paraId="7A7287FC" w14:textId="77777777" w:rsidR="00EC3B40" w:rsidRDefault="00140911">
      <w:pPr>
        <w:pStyle w:val="ListParagraph"/>
        <w:numPr>
          <w:ilvl w:val="0"/>
          <w:numId w:val="1"/>
        </w:numPr>
        <w:tabs>
          <w:tab w:val="left" w:pos="480"/>
        </w:tabs>
        <w:spacing w:before="90" w:line="274" w:lineRule="exact"/>
        <w:rPr>
          <w:b/>
          <w:sz w:val="24"/>
        </w:rPr>
      </w:pPr>
      <w:r>
        <w:rPr>
          <w:b/>
          <w:sz w:val="24"/>
        </w:rPr>
        <w:t>Minimum Performance</w:t>
      </w:r>
      <w:r>
        <w:rPr>
          <w:b/>
          <w:spacing w:val="-14"/>
          <w:sz w:val="24"/>
        </w:rPr>
        <w:t xml:space="preserve"> </w:t>
      </w:r>
      <w:r>
        <w:rPr>
          <w:b/>
          <w:sz w:val="24"/>
        </w:rPr>
        <w:t>Record</w:t>
      </w:r>
    </w:p>
    <w:p w14:paraId="16D7D977" w14:textId="77777777" w:rsidR="00EC3B40" w:rsidRDefault="00140911">
      <w:pPr>
        <w:pStyle w:val="BodyText"/>
        <w:ind w:left="120" w:right="102"/>
        <w:jc w:val="both"/>
      </w:pPr>
      <w:r>
        <w:t>Candidates should have a three-year track record of managing small or mid cap equity portfolios. If</w:t>
      </w:r>
      <w:r>
        <w:rPr>
          <w:spacing w:val="-8"/>
        </w:rPr>
        <w:t xml:space="preserve"> </w:t>
      </w:r>
      <w:r>
        <w:t>the</w:t>
      </w:r>
      <w:r>
        <w:rPr>
          <w:spacing w:val="-11"/>
        </w:rPr>
        <w:t xml:space="preserve"> </w:t>
      </w:r>
      <w:r>
        <w:t>track</w:t>
      </w:r>
      <w:r>
        <w:rPr>
          <w:spacing w:val="-10"/>
        </w:rPr>
        <w:t xml:space="preserve"> </w:t>
      </w:r>
      <w:r>
        <w:t>record</w:t>
      </w:r>
      <w:r>
        <w:rPr>
          <w:spacing w:val="-10"/>
        </w:rPr>
        <w:t xml:space="preserve"> </w:t>
      </w:r>
      <w:r>
        <w:t>is</w:t>
      </w:r>
      <w:r>
        <w:rPr>
          <w:spacing w:val="-9"/>
        </w:rPr>
        <w:t xml:space="preserve"> </w:t>
      </w:r>
      <w:r>
        <w:t>shorter</w:t>
      </w:r>
      <w:r>
        <w:rPr>
          <w:spacing w:val="-10"/>
        </w:rPr>
        <w:t xml:space="preserve"> </w:t>
      </w:r>
      <w:r>
        <w:t>than</w:t>
      </w:r>
      <w:r>
        <w:rPr>
          <w:spacing w:val="-10"/>
        </w:rPr>
        <w:t xml:space="preserve"> </w:t>
      </w:r>
      <w:r>
        <w:t>three</w:t>
      </w:r>
      <w:r>
        <w:rPr>
          <w:spacing w:val="-6"/>
        </w:rPr>
        <w:t xml:space="preserve"> </w:t>
      </w:r>
      <w:r>
        <w:t>years,</w:t>
      </w:r>
      <w:r>
        <w:rPr>
          <w:spacing w:val="-10"/>
        </w:rPr>
        <w:t xml:space="preserve"> </w:t>
      </w:r>
      <w:r>
        <w:t>the</w:t>
      </w:r>
      <w:r>
        <w:rPr>
          <w:spacing w:val="-11"/>
        </w:rPr>
        <w:t xml:space="preserve"> </w:t>
      </w:r>
      <w:r>
        <w:t>principal</w:t>
      </w:r>
      <w:r>
        <w:rPr>
          <w:spacing w:val="-9"/>
        </w:rPr>
        <w:t xml:space="preserve"> </w:t>
      </w:r>
      <w:r>
        <w:t>managers</w:t>
      </w:r>
      <w:r>
        <w:rPr>
          <w:spacing w:val="-9"/>
        </w:rPr>
        <w:t xml:space="preserve"> </w:t>
      </w:r>
      <w:r>
        <w:t>must</w:t>
      </w:r>
      <w:r>
        <w:rPr>
          <w:spacing w:val="-9"/>
        </w:rPr>
        <w:t xml:space="preserve"> </w:t>
      </w:r>
      <w:r>
        <w:t>have</w:t>
      </w:r>
      <w:r>
        <w:rPr>
          <w:spacing w:val="-11"/>
        </w:rPr>
        <w:t xml:space="preserve"> </w:t>
      </w:r>
      <w:r>
        <w:t>a</w:t>
      </w:r>
      <w:r>
        <w:rPr>
          <w:spacing w:val="-23"/>
        </w:rPr>
        <w:t xml:space="preserve"> </w:t>
      </w:r>
      <w:r>
        <w:t>successful</w:t>
      </w:r>
      <w:r>
        <w:rPr>
          <w:spacing w:val="-9"/>
        </w:rPr>
        <w:t xml:space="preserve"> </w:t>
      </w:r>
      <w:r>
        <w:t>record of managing similar portfolios for five years prior to the inception of the product under consideration.</w:t>
      </w:r>
    </w:p>
    <w:p w14:paraId="71BE7B13" w14:textId="77777777" w:rsidR="00EC3B40" w:rsidRDefault="00EC3B40">
      <w:pPr>
        <w:pStyle w:val="BodyText"/>
        <w:rPr>
          <w:sz w:val="25"/>
        </w:rPr>
      </w:pPr>
    </w:p>
    <w:p w14:paraId="338487BB" w14:textId="26790948" w:rsidR="00EC3B40" w:rsidRPr="00774599" w:rsidRDefault="00140911">
      <w:pPr>
        <w:pStyle w:val="Heading1"/>
        <w:numPr>
          <w:ilvl w:val="0"/>
          <w:numId w:val="1"/>
        </w:numPr>
        <w:tabs>
          <w:tab w:val="left" w:pos="480"/>
        </w:tabs>
        <w:spacing w:before="1"/>
      </w:pPr>
      <w:bookmarkStart w:id="20" w:name="18._Performance_Screening_Criteria"/>
      <w:bookmarkEnd w:id="20"/>
      <w:r w:rsidRPr="00774599">
        <w:t xml:space="preserve">Performance </w:t>
      </w:r>
      <w:r w:rsidR="00774599" w:rsidRPr="00774599">
        <w:t>Preferred Attributes</w:t>
      </w:r>
    </w:p>
    <w:p w14:paraId="7E57E646" w14:textId="25CC11F7" w:rsidR="00774599" w:rsidRPr="00B74232" w:rsidRDefault="00774599" w:rsidP="00B74232">
      <w:pPr>
        <w:ind w:left="120"/>
      </w:pPr>
      <w:r w:rsidRPr="00B74232">
        <w:rPr>
          <w:sz w:val="24"/>
        </w:rPr>
        <w:t xml:space="preserve">Performance </w:t>
      </w:r>
      <w:r w:rsidRPr="00774599">
        <w:rPr>
          <w:sz w:val="24"/>
          <w:szCs w:val="24"/>
        </w:rPr>
        <w:t>evaluation</w:t>
      </w:r>
      <w:r w:rsidRPr="00B74232">
        <w:rPr>
          <w:sz w:val="24"/>
        </w:rPr>
        <w:t xml:space="preserve"> will focus on </w:t>
      </w:r>
      <w:r w:rsidRPr="00774599">
        <w:rPr>
          <w:sz w:val="24"/>
          <w:szCs w:val="24"/>
        </w:rPr>
        <w:t xml:space="preserve">outperformance </w:t>
      </w:r>
      <w:r w:rsidRPr="00B74232">
        <w:rPr>
          <w:sz w:val="24"/>
        </w:rPr>
        <w:t xml:space="preserve">consistency relative to appropriate indexes and peer groups over </w:t>
      </w:r>
      <w:r w:rsidRPr="00774599">
        <w:rPr>
          <w:sz w:val="24"/>
          <w:szCs w:val="24"/>
        </w:rPr>
        <w:t>longer</w:t>
      </w:r>
      <w:r w:rsidRPr="00B74232">
        <w:rPr>
          <w:sz w:val="24"/>
        </w:rPr>
        <w:t xml:space="preserve"> periods</w:t>
      </w:r>
      <w:r w:rsidRPr="00774599">
        <w:rPr>
          <w:sz w:val="24"/>
          <w:szCs w:val="24"/>
        </w:rPr>
        <w:t xml:space="preserve">. </w:t>
      </w:r>
      <w:r w:rsidRPr="00B74232">
        <w:rPr>
          <w:sz w:val="24"/>
        </w:rPr>
        <w:t xml:space="preserve"> Consideration will be given to risk-adjusted measures, such as Sharpe and Information Ratios. </w:t>
      </w:r>
      <w:r w:rsidRPr="00774599">
        <w:rPr>
          <w:sz w:val="24"/>
          <w:szCs w:val="24"/>
        </w:rPr>
        <w:t xml:space="preserve"> Style</w:t>
      </w:r>
      <w:r w:rsidRPr="00B74232">
        <w:rPr>
          <w:sz w:val="24"/>
        </w:rPr>
        <w:t xml:space="preserve"> and correlation with existing TRS managers will </w:t>
      </w:r>
      <w:r w:rsidRPr="00774599">
        <w:rPr>
          <w:sz w:val="24"/>
          <w:szCs w:val="24"/>
        </w:rPr>
        <w:t xml:space="preserve">also </w:t>
      </w:r>
      <w:r w:rsidRPr="00B74232">
        <w:rPr>
          <w:sz w:val="24"/>
        </w:rPr>
        <w:t xml:space="preserve">be </w:t>
      </w:r>
      <w:r w:rsidRPr="00774599">
        <w:rPr>
          <w:sz w:val="24"/>
          <w:szCs w:val="24"/>
        </w:rPr>
        <w:t xml:space="preserve">reviewed. </w:t>
      </w:r>
    </w:p>
    <w:p w14:paraId="0D2A075D" w14:textId="77777777" w:rsidR="00774599" w:rsidRPr="00B74232" w:rsidRDefault="00774599" w:rsidP="00B74232">
      <w:pPr>
        <w:pStyle w:val="Heading1"/>
        <w:tabs>
          <w:tab w:val="left" w:pos="480"/>
        </w:tabs>
        <w:spacing w:before="1"/>
      </w:pPr>
    </w:p>
    <w:p w14:paraId="20693F0C" w14:textId="77777777" w:rsidR="00EC3B40" w:rsidRDefault="00140911">
      <w:pPr>
        <w:pStyle w:val="Heading1"/>
        <w:numPr>
          <w:ilvl w:val="0"/>
          <w:numId w:val="1"/>
        </w:numPr>
        <w:tabs>
          <w:tab w:val="left" w:pos="480"/>
        </w:tabs>
      </w:pPr>
      <w:bookmarkStart w:id="21" w:name="19._Performance_Comparisons"/>
      <w:bookmarkEnd w:id="21"/>
      <w:r>
        <w:t>Performance</w:t>
      </w:r>
      <w:r>
        <w:rPr>
          <w:spacing w:val="-10"/>
        </w:rPr>
        <w:t xml:space="preserve"> </w:t>
      </w:r>
      <w:r>
        <w:t>Comparisons</w:t>
      </w:r>
    </w:p>
    <w:p w14:paraId="00A4750C" w14:textId="77777777" w:rsidR="00EC3B40" w:rsidRDefault="00140911">
      <w:pPr>
        <w:pStyle w:val="BodyText"/>
        <w:ind w:left="120" w:right="1133"/>
      </w:pPr>
      <w:r>
        <w:t>Performance of the selected manager will be evaluated relative to a regional and style appropriate index and a peer group provided by the consultant.</w:t>
      </w:r>
    </w:p>
    <w:p w14:paraId="5B5AAF0A" w14:textId="77777777" w:rsidR="00F84321" w:rsidRDefault="00F84321">
      <w:pPr>
        <w:pStyle w:val="Heading1"/>
        <w:spacing w:before="74" w:line="240" w:lineRule="auto"/>
        <w:ind w:left="120" w:firstLine="0"/>
        <w:jc w:val="left"/>
        <w:rPr>
          <w:u w:val="thick"/>
        </w:rPr>
      </w:pPr>
      <w:bookmarkStart w:id="22" w:name="Client_Service_Factors"/>
      <w:bookmarkEnd w:id="22"/>
    </w:p>
    <w:p w14:paraId="4C5EA854" w14:textId="56000F60" w:rsidR="00EC3B40" w:rsidRDefault="00F84321">
      <w:pPr>
        <w:pStyle w:val="Heading1"/>
        <w:spacing w:before="74" w:line="240" w:lineRule="auto"/>
        <w:ind w:left="120" w:firstLine="0"/>
        <w:jc w:val="left"/>
      </w:pPr>
      <w:r>
        <w:rPr>
          <w:u w:val="thick"/>
        </w:rPr>
        <w:t>Cl</w:t>
      </w:r>
      <w:r w:rsidR="00140911">
        <w:rPr>
          <w:u w:val="thick"/>
        </w:rPr>
        <w:t>ient Service Factors</w:t>
      </w:r>
    </w:p>
    <w:p w14:paraId="666C8684" w14:textId="77777777" w:rsidR="00EC3B40" w:rsidRDefault="00EC3B40">
      <w:pPr>
        <w:pStyle w:val="BodyText"/>
        <w:spacing w:before="8"/>
        <w:rPr>
          <w:b/>
          <w:sz w:val="15"/>
        </w:rPr>
      </w:pPr>
    </w:p>
    <w:p w14:paraId="6C715449" w14:textId="77777777" w:rsidR="00EC3B40" w:rsidRDefault="00140911">
      <w:pPr>
        <w:pStyle w:val="ListParagraph"/>
        <w:numPr>
          <w:ilvl w:val="0"/>
          <w:numId w:val="1"/>
        </w:numPr>
        <w:tabs>
          <w:tab w:val="left" w:pos="480"/>
        </w:tabs>
        <w:spacing w:before="90" w:line="274" w:lineRule="exact"/>
        <w:rPr>
          <w:b/>
          <w:sz w:val="24"/>
        </w:rPr>
      </w:pPr>
      <w:r>
        <w:rPr>
          <w:b/>
          <w:sz w:val="24"/>
        </w:rPr>
        <w:t>Client Communications and</w:t>
      </w:r>
      <w:r>
        <w:rPr>
          <w:b/>
          <w:spacing w:val="-14"/>
          <w:sz w:val="24"/>
        </w:rPr>
        <w:t xml:space="preserve"> </w:t>
      </w:r>
      <w:r>
        <w:rPr>
          <w:b/>
          <w:sz w:val="24"/>
        </w:rPr>
        <w:t>Rapport</w:t>
      </w:r>
    </w:p>
    <w:p w14:paraId="52BB68A8" w14:textId="77777777" w:rsidR="00EC3B40" w:rsidRDefault="00140911">
      <w:pPr>
        <w:pStyle w:val="BodyText"/>
        <w:ind w:left="119" w:right="100"/>
        <w:jc w:val="both"/>
      </w:pPr>
      <w:r>
        <w:t>The firm must be service-oriented and exhibit high sensitivity to individual client needs. Reports and communication from advisors should satisfy the investment policy requirements. The ability to communicate in clear, easily understood terms is very important. Portfolio managers should be capable of clearly articulating their investment process and explaining it through favorable and non-favorable market conditions. The candidates should be willing to meet with TRS annually,</w:t>
      </w:r>
      <w:r>
        <w:rPr>
          <w:spacing w:val="-34"/>
        </w:rPr>
        <w:t xml:space="preserve"> </w:t>
      </w:r>
      <w:r>
        <w:t>at a minimum, and at such other times as TRS</w:t>
      </w:r>
      <w:r>
        <w:rPr>
          <w:spacing w:val="-24"/>
        </w:rPr>
        <w:t xml:space="preserve"> </w:t>
      </w:r>
      <w:r>
        <w:t>requires.</w:t>
      </w:r>
    </w:p>
    <w:p w14:paraId="7AAAE3D9" w14:textId="77777777" w:rsidR="00EC3B40" w:rsidRDefault="00EC3B40">
      <w:pPr>
        <w:pStyle w:val="BodyText"/>
        <w:rPr>
          <w:sz w:val="25"/>
        </w:rPr>
      </w:pPr>
    </w:p>
    <w:p w14:paraId="08F3EE7A" w14:textId="77777777" w:rsidR="00EC3B40" w:rsidRDefault="00140911">
      <w:pPr>
        <w:pStyle w:val="Heading1"/>
        <w:spacing w:before="1" w:line="240" w:lineRule="auto"/>
        <w:ind w:left="120" w:firstLine="0"/>
      </w:pPr>
      <w:bookmarkStart w:id="23" w:name="Other_Factors"/>
      <w:bookmarkEnd w:id="23"/>
      <w:r>
        <w:rPr>
          <w:u w:val="thick"/>
        </w:rPr>
        <w:t>Other Factors</w:t>
      </w:r>
    </w:p>
    <w:p w14:paraId="11106E81" w14:textId="77777777" w:rsidR="00EC3B40" w:rsidRDefault="00EC3B40">
      <w:pPr>
        <w:pStyle w:val="BodyText"/>
        <w:spacing w:before="11"/>
        <w:rPr>
          <w:b/>
          <w:sz w:val="15"/>
        </w:rPr>
      </w:pPr>
    </w:p>
    <w:p w14:paraId="3E6BF679" w14:textId="77777777" w:rsidR="00EC3B40" w:rsidRDefault="00140911">
      <w:pPr>
        <w:pStyle w:val="ListParagraph"/>
        <w:numPr>
          <w:ilvl w:val="0"/>
          <w:numId w:val="1"/>
        </w:numPr>
        <w:tabs>
          <w:tab w:val="left" w:pos="480"/>
        </w:tabs>
        <w:spacing w:before="90" w:line="274" w:lineRule="exact"/>
        <w:rPr>
          <w:b/>
          <w:sz w:val="24"/>
        </w:rPr>
      </w:pPr>
      <w:r>
        <w:rPr>
          <w:b/>
          <w:sz w:val="24"/>
        </w:rPr>
        <w:t>Fees</w:t>
      </w:r>
    </w:p>
    <w:p w14:paraId="4EDB4EDB" w14:textId="77777777" w:rsidR="00EC3B40" w:rsidRDefault="00140911">
      <w:pPr>
        <w:pStyle w:val="BodyText"/>
        <w:ind w:left="120" w:right="104"/>
        <w:jc w:val="both"/>
      </w:pPr>
      <w:r>
        <w:t>TRS</w:t>
      </w:r>
      <w:r>
        <w:rPr>
          <w:spacing w:val="-11"/>
        </w:rPr>
        <w:t xml:space="preserve"> </w:t>
      </w:r>
      <w:r>
        <w:t>will</w:t>
      </w:r>
      <w:r>
        <w:rPr>
          <w:spacing w:val="-14"/>
        </w:rPr>
        <w:t xml:space="preserve"> </w:t>
      </w:r>
      <w:r>
        <w:t>request</w:t>
      </w:r>
      <w:r>
        <w:rPr>
          <w:spacing w:val="-12"/>
        </w:rPr>
        <w:t xml:space="preserve"> </w:t>
      </w:r>
      <w:r>
        <w:t>fee</w:t>
      </w:r>
      <w:r>
        <w:rPr>
          <w:spacing w:val="-13"/>
        </w:rPr>
        <w:t xml:space="preserve"> </w:t>
      </w:r>
      <w:r>
        <w:t>proposals</w:t>
      </w:r>
      <w:r>
        <w:rPr>
          <w:spacing w:val="-12"/>
        </w:rPr>
        <w:t xml:space="preserve"> </w:t>
      </w:r>
      <w:r>
        <w:t>from</w:t>
      </w:r>
      <w:r>
        <w:rPr>
          <w:spacing w:val="-12"/>
        </w:rPr>
        <w:t xml:space="preserve"> </w:t>
      </w:r>
      <w:r>
        <w:t>all</w:t>
      </w:r>
      <w:r>
        <w:rPr>
          <w:spacing w:val="-12"/>
        </w:rPr>
        <w:t xml:space="preserve"> </w:t>
      </w:r>
      <w:r>
        <w:t>finalist</w:t>
      </w:r>
      <w:r>
        <w:rPr>
          <w:spacing w:val="-12"/>
        </w:rPr>
        <w:t xml:space="preserve"> </w:t>
      </w:r>
      <w:r>
        <w:t>candidates.</w:t>
      </w:r>
      <w:r>
        <w:rPr>
          <w:spacing w:val="-12"/>
        </w:rPr>
        <w:t xml:space="preserve"> </w:t>
      </w:r>
      <w:r>
        <w:t>Fee</w:t>
      </w:r>
      <w:r>
        <w:rPr>
          <w:spacing w:val="-13"/>
        </w:rPr>
        <w:t xml:space="preserve"> </w:t>
      </w:r>
      <w:r>
        <w:t>proposals</w:t>
      </w:r>
      <w:r>
        <w:rPr>
          <w:spacing w:val="-12"/>
        </w:rPr>
        <w:t xml:space="preserve"> </w:t>
      </w:r>
      <w:r>
        <w:t>will</w:t>
      </w:r>
      <w:r>
        <w:rPr>
          <w:spacing w:val="-12"/>
        </w:rPr>
        <w:t xml:space="preserve"> </w:t>
      </w:r>
      <w:r>
        <w:t>be</w:t>
      </w:r>
      <w:r>
        <w:rPr>
          <w:spacing w:val="-25"/>
        </w:rPr>
        <w:t xml:space="preserve"> </w:t>
      </w:r>
      <w:r>
        <w:t>evaluated</w:t>
      </w:r>
      <w:r>
        <w:rPr>
          <w:spacing w:val="-12"/>
        </w:rPr>
        <w:t xml:space="preserve"> </w:t>
      </w:r>
      <w:r>
        <w:t>relative to industry and TRS norms and minimized to the extent possible. Most favored nation status is required. Asset based fees are typical for TRS public equity products, but performance-based fee structures will also be considered if it is advantageous to</w:t>
      </w:r>
      <w:r>
        <w:rPr>
          <w:spacing w:val="-31"/>
        </w:rPr>
        <w:t xml:space="preserve"> </w:t>
      </w:r>
      <w:r>
        <w:t>TRS.</w:t>
      </w:r>
    </w:p>
    <w:p w14:paraId="4E6D0BAA" w14:textId="77777777" w:rsidR="00EC3B40" w:rsidRDefault="00EC3B40">
      <w:pPr>
        <w:pStyle w:val="BodyText"/>
        <w:rPr>
          <w:sz w:val="25"/>
        </w:rPr>
      </w:pPr>
    </w:p>
    <w:p w14:paraId="48654602" w14:textId="116E58B5" w:rsidR="00EC3B40" w:rsidRDefault="00140911">
      <w:pPr>
        <w:pStyle w:val="Heading1"/>
        <w:numPr>
          <w:ilvl w:val="0"/>
          <w:numId w:val="1"/>
        </w:numPr>
        <w:tabs>
          <w:tab w:val="left" w:pos="480"/>
        </w:tabs>
      </w:pPr>
      <w:bookmarkStart w:id="24" w:name="22._Compliance_with_Illinois_State_Law_a"/>
      <w:bookmarkEnd w:id="24"/>
      <w:r>
        <w:t xml:space="preserve">Compliance </w:t>
      </w:r>
      <w:r w:rsidR="00826E95">
        <w:t>with Illinois State Law and Prohibited Investments</w:t>
      </w:r>
    </w:p>
    <w:p w14:paraId="318E5BB1" w14:textId="1E6412F5" w:rsidR="00826E95" w:rsidRPr="00826E95" w:rsidRDefault="00826E95" w:rsidP="002B5F1F">
      <w:pPr>
        <w:ind w:left="120"/>
        <w:jc w:val="both"/>
        <w:rPr>
          <w:sz w:val="24"/>
          <w:szCs w:val="24"/>
        </w:rPr>
      </w:pPr>
      <w:r w:rsidRPr="00826E95">
        <w:rPr>
          <w:sz w:val="24"/>
          <w:szCs w:val="24"/>
        </w:rPr>
        <w:t>Managers are subject to 40 ILCS 5/1-110.16, as amended from time to time (the “Restricted Company Act”), relating to investments in companies that are designated by the Illinois Investment Policy Board as restricted companies.  Managers must comply with the System’s</w:t>
      </w:r>
      <w:r>
        <w:rPr>
          <w:sz w:val="24"/>
          <w:szCs w:val="24"/>
        </w:rPr>
        <w:t xml:space="preserve"> </w:t>
      </w:r>
      <w:r w:rsidRPr="00826E95">
        <w:rPr>
          <w:sz w:val="24"/>
          <w:szCs w:val="24"/>
        </w:rPr>
        <w:t xml:space="preserve">monitoring and </w:t>
      </w:r>
      <w:r w:rsidRPr="00826E95">
        <w:rPr>
          <w:sz w:val="24"/>
          <w:szCs w:val="24"/>
        </w:rPr>
        <w:lastRenderedPageBreak/>
        <w:t>reporting requirements under the Restricted Company Act and other applicable Illinois law.</w:t>
      </w:r>
    </w:p>
    <w:p w14:paraId="7A94E847" w14:textId="77777777" w:rsidR="00826E95" w:rsidRDefault="00826E95">
      <w:pPr>
        <w:pStyle w:val="BodyText"/>
        <w:spacing w:before="2"/>
        <w:rPr>
          <w:sz w:val="25"/>
        </w:rPr>
      </w:pPr>
    </w:p>
    <w:p w14:paraId="7EB5BE98" w14:textId="77777777" w:rsidR="00EC3B40" w:rsidRDefault="00140911">
      <w:pPr>
        <w:pStyle w:val="Heading1"/>
        <w:numPr>
          <w:ilvl w:val="0"/>
          <w:numId w:val="1"/>
        </w:numPr>
        <w:tabs>
          <w:tab w:val="left" w:pos="480"/>
        </w:tabs>
        <w:spacing w:line="274" w:lineRule="exact"/>
      </w:pPr>
      <w:bookmarkStart w:id="25" w:name="23._Manager_Guidelines_and_Investment_Ma"/>
      <w:bookmarkEnd w:id="25"/>
      <w:r>
        <w:t>Manager Guidelines and Investment Management</w:t>
      </w:r>
      <w:r>
        <w:rPr>
          <w:spacing w:val="-22"/>
        </w:rPr>
        <w:t xml:space="preserve"> </w:t>
      </w:r>
      <w:r>
        <w:t>Agreement</w:t>
      </w:r>
    </w:p>
    <w:p w14:paraId="1D5DD67D" w14:textId="746B7F11" w:rsidR="00774599" w:rsidRPr="00774599" w:rsidRDefault="00774599" w:rsidP="002B5F1F">
      <w:pPr>
        <w:ind w:left="120"/>
        <w:jc w:val="both"/>
        <w:rPr>
          <w:sz w:val="24"/>
          <w:szCs w:val="24"/>
        </w:rPr>
      </w:pPr>
      <w:r w:rsidRPr="000A6B30">
        <w:rPr>
          <w:sz w:val="24"/>
          <w:szCs w:val="24"/>
        </w:rPr>
        <w:t xml:space="preserve">Managers </w:t>
      </w:r>
      <w:r w:rsidR="000A6B30" w:rsidRPr="000A6B30">
        <w:rPr>
          <w:sz w:val="24"/>
          <w:szCs w:val="24"/>
        </w:rPr>
        <w:t>will be required to conform to all applicable TRS manager guidelines and sign the Investment Management Agreement (“IMA”).  A sample IMA will be provided to semifinalist candidates.  The successful firm must be willing and able to execute an agreement in the form of the sample IMA.  Certain provisions mandated by the State of Illinois to be included in contracts with agencies of the State of Illinois are never subject to negotiation.  Only Appendices B (Investment Parameters) and C (Fee Schedule) of the IMA are negotiable.  Fund structures may be considered, in which case the TRS IMA may not apply.  Fund structures remain subject to Illinois law.</w:t>
      </w:r>
    </w:p>
    <w:p w14:paraId="33FA4A42" w14:textId="77777777" w:rsidR="00774599" w:rsidRPr="00B74232" w:rsidRDefault="00774599" w:rsidP="00B74232">
      <w:pPr>
        <w:pStyle w:val="BodyText"/>
        <w:spacing w:before="1"/>
        <w:rPr>
          <w:sz w:val="25"/>
        </w:rPr>
      </w:pPr>
    </w:p>
    <w:p w14:paraId="2094873F" w14:textId="77777777" w:rsidR="00EC3B40" w:rsidRDefault="00140911">
      <w:pPr>
        <w:pStyle w:val="Heading1"/>
        <w:spacing w:line="240" w:lineRule="auto"/>
        <w:ind w:left="120" w:firstLine="0"/>
      </w:pPr>
      <w:bookmarkStart w:id="26" w:name="QUESTIONS"/>
      <w:bookmarkEnd w:id="26"/>
      <w:r>
        <w:rPr>
          <w:u w:val="thick"/>
        </w:rPr>
        <w:t>QUESTIONS</w:t>
      </w:r>
    </w:p>
    <w:p w14:paraId="7D154384" w14:textId="77777777" w:rsidR="00EC3B40" w:rsidRDefault="00EC3B40">
      <w:pPr>
        <w:pStyle w:val="BodyText"/>
        <w:spacing w:before="4"/>
        <w:rPr>
          <w:b/>
          <w:sz w:val="15"/>
        </w:rPr>
      </w:pPr>
    </w:p>
    <w:p w14:paraId="33CC11AB" w14:textId="2FCEA92B" w:rsidR="00EC3B40" w:rsidRDefault="00140911">
      <w:pPr>
        <w:pStyle w:val="BodyText"/>
        <w:spacing w:before="90"/>
        <w:ind w:left="120" w:right="445"/>
      </w:pPr>
      <w:r>
        <w:t xml:space="preserve">Please direct any questions to </w:t>
      </w:r>
      <w:hyperlink r:id="rId10" w:history="1">
        <w:r w:rsidR="003D1A4F" w:rsidRPr="00FC76EE">
          <w:rPr>
            <w:rStyle w:val="Hyperlink"/>
            <w:u w:color="0000FF"/>
          </w:rPr>
          <w:t>trsi.smidcap@rvkinc.com</w:t>
        </w:r>
      </w:hyperlink>
      <w:r>
        <w:rPr>
          <w:color w:val="0000FF"/>
          <w:u w:val="single" w:color="0000FF"/>
        </w:rPr>
        <w:t xml:space="preserve"> </w:t>
      </w:r>
      <w:r>
        <w:t xml:space="preserve">or contact </w:t>
      </w:r>
      <w:r w:rsidR="00B74232">
        <w:t>the Equity Research Team at RVK</w:t>
      </w:r>
      <w:r w:rsidR="00415CA3">
        <w:t xml:space="preserve"> </w:t>
      </w:r>
      <w:r>
        <w:t xml:space="preserve">at (503)221-4200. </w:t>
      </w:r>
      <w:r w:rsidR="00415CA3">
        <w:t xml:space="preserve"> </w:t>
      </w:r>
      <w:r>
        <w:t>All State of Illinois and TRS ethics policies apply.</w:t>
      </w:r>
    </w:p>
    <w:sectPr w:rsidR="00EC3B40">
      <w:headerReference w:type="default" r:id="rId11"/>
      <w:footerReference w:type="default" r:id="rId12"/>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3B6F" w14:textId="77777777" w:rsidR="00A76750" w:rsidRDefault="00A76750" w:rsidP="00EB30C6">
      <w:r>
        <w:separator/>
      </w:r>
    </w:p>
  </w:endnote>
  <w:endnote w:type="continuationSeparator" w:id="0">
    <w:p w14:paraId="794C028A" w14:textId="77777777" w:rsidR="00A76750" w:rsidRDefault="00A76750" w:rsidP="00EB30C6">
      <w:r>
        <w:continuationSeparator/>
      </w:r>
    </w:p>
  </w:endnote>
  <w:endnote w:type="continuationNotice" w:id="1">
    <w:p w14:paraId="4DF9D0F8" w14:textId="77777777" w:rsidR="00A76750" w:rsidRDefault="00A76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127B" w14:textId="77777777" w:rsidR="00447783" w:rsidRDefault="00447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AAA8" w14:textId="77777777" w:rsidR="00A76750" w:rsidRDefault="00A76750" w:rsidP="00EB30C6">
      <w:r>
        <w:separator/>
      </w:r>
    </w:p>
  </w:footnote>
  <w:footnote w:type="continuationSeparator" w:id="0">
    <w:p w14:paraId="2023F53D" w14:textId="77777777" w:rsidR="00A76750" w:rsidRDefault="00A76750" w:rsidP="00EB30C6">
      <w:r>
        <w:continuationSeparator/>
      </w:r>
    </w:p>
  </w:footnote>
  <w:footnote w:type="continuationNotice" w:id="1">
    <w:p w14:paraId="47594600" w14:textId="77777777" w:rsidR="00A76750" w:rsidRDefault="00A76750"/>
  </w:footnote>
  <w:footnote w:id="2">
    <w:p w14:paraId="55EFCA34" w14:textId="77777777" w:rsidR="00AD04BB" w:rsidRPr="00E65C5C" w:rsidRDefault="00AD04BB" w:rsidP="00AD04BB">
      <w:pPr>
        <w:pStyle w:val="FootnoteText"/>
        <w:rPr>
          <w:rFonts w:asciiTheme="minorHAnsi" w:hAnsiTheme="minorHAnsi" w:cstheme="minorHAnsi"/>
        </w:rPr>
      </w:pPr>
      <w:r w:rsidRPr="00E65C5C">
        <w:rPr>
          <w:rStyle w:val="FootnoteReference"/>
          <w:rFonts w:asciiTheme="minorHAnsi" w:hAnsiTheme="minorHAnsi" w:cstheme="minorHAnsi"/>
        </w:rPr>
        <w:footnoteRef/>
      </w:r>
      <w:r w:rsidRPr="00E65C5C">
        <w:rPr>
          <w:rFonts w:asciiTheme="minorHAnsi" w:hAnsiTheme="minorHAnsi" w:cstheme="minorHAnsi"/>
        </w:rPr>
        <w:t xml:space="preserve"> 40 ILCS 5/1-109.1(9)</w:t>
      </w:r>
    </w:p>
  </w:footnote>
  <w:footnote w:id="3">
    <w:p w14:paraId="6B2D0A66" w14:textId="77777777" w:rsidR="00AD04BB" w:rsidRPr="00E65C5C" w:rsidRDefault="00AD04BB" w:rsidP="00AD04BB">
      <w:pPr>
        <w:pStyle w:val="FootnoteText"/>
        <w:rPr>
          <w:rFonts w:asciiTheme="minorHAnsi" w:hAnsiTheme="minorHAnsi" w:cstheme="minorHAnsi"/>
        </w:rPr>
      </w:pPr>
      <w:r w:rsidRPr="00E65C5C">
        <w:rPr>
          <w:rStyle w:val="FootnoteReference"/>
          <w:rFonts w:asciiTheme="minorHAnsi" w:hAnsiTheme="minorHAnsi" w:cstheme="minorHAnsi"/>
        </w:rPr>
        <w:footnoteRef/>
      </w:r>
      <w:r w:rsidRPr="00E65C5C">
        <w:rPr>
          <w:rFonts w:asciiTheme="minorHAnsi" w:hAnsiTheme="minorHAnsi" w:cstheme="minorHAnsi"/>
        </w:rPr>
        <w:t xml:space="preserve"> 30 ILCS 575/2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0792" w14:textId="77777777" w:rsidR="00447783" w:rsidRDefault="0044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15D3D"/>
    <w:multiLevelType w:val="hybridMultilevel"/>
    <w:tmpl w:val="7452F6E2"/>
    <w:lvl w:ilvl="0" w:tplc="CDC6DBE0">
      <w:start w:val="1"/>
      <w:numFmt w:val="decimal"/>
      <w:lvlText w:val="%1."/>
      <w:lvlJc w:val="left"/>
      <w:pPr>
        <w:ind w:left="480" w:hanging="360"/>
      </w:pPr>
      <w:rPr>
        <w:rFonts w:ascii="Times New Roman" w:eastAsia="Times New Roman" w:hAnsi="Times New Roman" w:cs="Times New Roman" w:hint="default"/>
        <w:b/>
        <w:bCs/>
        <w:spacing w:val="-1"/>
        <w:w w:val="99"/>
        <w:sz w:val="24"/>
        <w:szCs w:val="24"/>
      </w:rPr>
    </w:lvl>
    <w:lvl w:ilvl="1" w:tplc="E25ECDE6">
      <w:numFmt w:val="bullet"/>
      <w:lvlText w:val="•"/>
      <w:lvlJc w:val="left"/>
      <w:pPr>
        <w:ind w:left="1390" w:hanging="360"/>
      </w:pPr>
      <w:rPr>
        <w:rFonts w:hint="default"/>
      </w:rPr>
    </w:lvl>
    <w:lvl w:ilvl="2" w:tplc="855EF982">
      <w:numFmt w:val="bullet"/>
      <w:lvlText w:val="•"/>
      <w:lvlJc w:val="left"/>
      <w:pPr>
        <w:ind w:left="2300" w:hanging="360"/>
      </w:pPr>
      <w:rPr>
        <w:rFonts w:hint="default"/>
      </w:rPr>
    </w:lvl>
    <w:lvl w:ilvl="3" w:tplc="89C491B6">
      <w:numFmt w:val="bullet"/>
      <w:lvlText w:val="•"/>
      <w:lvlJc w:val="left"/>
      <w:pPr>
        <w:ind w:left="3210" w:hanging="360"/>
      </w:pPr>
      <w:rPr>
        <w:rFonts w:hint="default"/>
      </w:rPr>
    </w:lvl>
    <w:lvl w:ilvl="4" w:tplc="5AF4C452">
      <w:numFmt w:val="bullet"/>
      <w:lvlText w:val="•"/>
      <w:lvlJc w:val="left"/>
      <w:pPr>
        <w:ind w:left="4120" w:hanging="360"/>
      </w:pPr>
      <w:rPr>
        <w:rFonts w:hint="default"/>
      </w:rPr>
    </w:lvl>
    <w:lvl w:ilvl="5" w:tplc="08643BAA">
      <w:numFmt w:val="bullet"/>
      <w:lvlText w:val="•"/>
      <w:lvlJc w:val="left"/>
      <w:pPr>
        <w:ind w:left="5030" w:hanging="360"/>
      </w:pPr>
      <w:rPr>
        <w:rFonts w:hint="default"/>
      </w:rPr>
    </w:lvl>
    <w:lvl w:ilvl="6" w:tplc="7526B880">
      <w:numFmt w:val="bullet"/>
      <w:lvlText w:val="•"/>
      <w:lvlJc w:val="left"/>
      <w:pPr>
        <w:ind w:left="5940" w:hanging="360"/>
      </w:pPr>
      <w:rPr>
        <w:rFonts w:hint="default"/>
      </w:rPr>
    </w:lvl>
    <w:lvl w:ilvl="7" w:tplc="B5BC6C18">
      <w:numFmt w:val="bullet"/>
      <w:lvlText w:val="•"/>
      <w:lvlJc w:val="left"/>
      <w:pPr>
        <w:ind w:left="6850" w:hanging="360"/>
      </w:pPr>
      <w:rPr>
        <w:rFonts w:hint="default"/>
      </w:rPr>
    </w:lvl>
    <w:lvl w:ilvl="8" w:tplc="34A4D6C4">
      <w:numFmt w:val="bullet"/>
      <w:lvlText w:val="•"/>
      <w:lvlJc w:val="left"/>
      <w:pPr>
        <w:ind w:left="77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40"/>
    <w:rsid w:val="00037036"/>
    <w:rsid w:val="000A6B30"/>
    <w:rsid w:val="000E4A41"/>
    <w:rsid w:val="00127A44"/>
    <w:rsid w:val="00140911"/>
    <w:rsid w:val="002825F3"/>
    <w:rsid w:val="002B5F1F"/>
    <w:rsid w:val="002D7CF1"/>
    <w:rsid w:val="003225FE"/>
    <w:rsid w:val="003D1A4F"/>
    <w:rsid w:val="00415CA3"/>
    <w:rsid w:val="00447783"/>
    <w:rsid w:val="00530B39"/>
    <w:rsid w:val="005927FF"/>
    <w:rsid w:val="006571A2"/>
    <w:rsid w:val="006B6757"/>
    <w:rsid w:val="00774599"/>
    <w:rsid w:val="00824DD2"/>
    <w:rsid w:val="00826E95"/>
    <w:rsid w:val="00894707"/>
    <w:rsid w:val="00944BE4"/>
    <w:rsid w:val="009A7BE2"/>
    <w:rsid w:val="009D1E7B"/>
    <w:rsid w:val="009D7C83"/>
    <w:rsid w:val="00A76750"/>
    <w:rsid w:val="00A8475A"/>
    <w:rsid w:val="00AC59C7"/>
    <w:rsid w:val="00AD04BB"/>
    <w:rsid w:val="00B74232"/>
    <w:rsid w:val="00C21B0E"/>
    <w:rsid w:val="00D13493"/>
    <w:rsid w:val="00EB30C6"/>
    <w:rsid w:val="00EC3B40"/>
    <w:rsid w:val="00F43ED5"/>
    <w:rsid w:val="00F822C4"/>
    <w:rsid w:val="00F8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EF43"/>
  <w15:docId w15:val="{93DF8A42-5A89-4992-B82E-13AED249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2" w:lineRule="exact"/>
      <w:ind w:left="480"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2" w:lineRule="exact"/>
      <w:ind w:left="48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D1A4F"/>
    <w:rPr>
      <w:color w:val="0000FF" w:themeColor="hyperlink"/>
      <w:u w:val="single"/>
    </w:rPr>
  </w:style>
  <w:style w:type="paragraph" w:styleId="FootnoteText">
    <w:name w:val="footnote text"/>
    <w:basedOn w:val="Normal"/>
    <w:link w:val="FootnoteTextChar"/>
    <w:uiPriority w:val="99"/>
    <w:semiHidden/>
    <w:rsid w:val="00EB30C6"/>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EB30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B30C6"/>
    <w:rPr>
      <w:vertAlign w:val="superscript"/>
    </w:rPr>
  </w:style>
  <w:style w:type="paragraph" w:styleId="Header">
    <w:name w:val="header"/>
    <w:basedOn w:val="Normal"/>
    <w:link w:val="HeaderChar"/>
    <w:uiPriority w:val="99"/>
    <w:unhideWhenUsed/>
    <w:rsid w:val="00447783"/>
    <w:pPr>
      <w:tabs>
        <w:tab w:val="center" w:pos="4680"/>
        <w:tab w:val="right" w:pos="9360"/>
      </w:tabs>
    </w:pPr>
  </w:style>
  <w:style w:type="character" w:customStyle="1" w:styleId="HeaderChar">
    <w:name w:val="Header Char"/>
    <w:basedOn w:val="DefaultParagraphFont"/>
    <w:link w:val="Header"/>
    <w:uiPriority w:val="99"/>
    <w:rsid w:val="00447783"/>
    <w:rPr>
      <w:rFonts w:ascii="Times New Roman" w:eastAsia="Times New Roman" w:hAnsi="Times New Roman" w:cs="Times New Roman"/>
    </w:rPr>
  </w:style>
  <w:style w:type="paragraph" w:styleId="Footer">
    <w:name w:val="footer"/>
    <w:basedOn w:val="Normal"/>
    <w:link w:val="FooterChar"/>
    <w:uiPriority w:val="99"/>
    <w:unhideWhenUsed/>
    <w:rsid w:val="00447783"/>
    <w:pPr>
      <w:tabs>
        <w:tab w:val="center" w:pos="4680"/>
        <w:tab w:val="right" w:pos="9360"/>
      </w:tabs>
    </w:pPr>
  </w:style>
  <w:style w:type="character" w:customStyle="1" w:styleId="FooterChar">
    <w:name w:val="Footer Char"/>
    <w:basedOn w:val="DefaultParagraphFont"/>
    <w:link w:val="Footer"/>
    <w:uiPriority w:val="99"/>
    <w:rsid w:val="004477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47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si.smidcap@rvk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estmentallian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si.smidcap@rvkinc.com" TargetMode="External"/><Relationship Id="rId4" Type="http://schemas.openxmlformats.org/officeDocument/2006/relationships/webSettings" Target="webSettings.xml"/><Relationship Id="rId9" Type="http://schemas.openxmlformats.org/officeDocument/2006/relationships/hyperlink" Target="https://www.trsil.org/investments/how-to-particip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Manager Profile</vt:lpstr>
    </vt:vector>
  </TitlesOfParts>
  <Company>TEACHERS' RETIREMENT SYSTEM OF THE STATE OF ILLINOIS</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Profile</dc:title>
  <dc:creator>Bill Thomas</dc:creator>
  <cp:lastModifiedBy>Boehme, Kathy</cp:lastModifiedBy>
  <cp:revision>2</cp:revision>
  <dcterms:created xsi:type="dcterms:W3CDTF">2020-01-24T15:50:00Z</dcterms:created>
  <dcterms:modified xsi:type="dcterms:W3CDTF">2020-01-24T15:50:00Z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Acrobat PDFMaker 15 for Word</vt:lpwstr>
  </property>
  <property fmtid="{D5CDD505-2E9C-101B-9397-08002B2CF9AE}" pid="4" name="LastSaved">
    <vt:filetime>2017-01-12T00:00:00Z</vt:filetime>
  </property>
</Properties>
</file>